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10.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2"/>
        </w:tabs>
        <w:jc w:val="left"/>
        <w:rPr>
          <w:sz w:val="36"/>
          <w:szCs w:val="44"/>
        </w:rPr>
      </w:pPr>
    </w:p>
    <w:sdt>
      <w:sdtPr>
        <w:rPr>
          <w:rFonts w:ascii="宋体" w:hAnsi="宋体" w:eastAsia="宋体"/>
          <w:sz w:val="32"/>
          <w:szCs w:val="32"/>
        </w:rPr>
        <w:id w:val="147482311"/>
        <w:docPartObj>
          <w:docPartGallery w:val="Table of Contents"/>
          <w:docPartUnique/>
        </w:docPartObj>
      </w:sdtPr>
      <w:sdtEndPr>
        <w:rPr>
          <w:rFonts w:hint="eastAsia" w:ascii="宋体" w:hAnsi="宋体" w:eastAsia="宋体"/>
          <w:sz w:val="21"/>
          <w:szCs w:val="24"/>
        </w:rPr>
      </w:sdtEndPr>
      <w:sdtContent>
        <w:p>
          <w:pPr>
            <w:spacing w:line="360" w:lineRule="auto"/>
            <w:jc w:val="center"/>
            <w:rPr>
              <w:sz w:val="32"/>
              <w:szCs w:val="32"/>
            </w:rPr>
          </w:pPr>
          <w:r>
            <w:rPr>
              <w:rFonts w:ascii="宋体" w:hAnsi="宋体" w:eastAsia="宋体"/>
              <w:sz w:val="32"/>
              <w:szCs w:val="32"/>
            </w:rPr>
            <w:t>目</w:t>
          </w:r>
          <w:r>
            <w:rPr>
              <w:rFonts w:hint="eastAsia" w:ascii="宋体" w:hAnsi="宋体" w:eastAsia="宋体"/>
              <w:sz w:val="32"/>
              <w:szCs w:val="32"/>
            </w:rPr>
            <w:t xml:space="preserve"> </w:t>
          </w:r>
          <w:r>
            <w:rPr>
              <w:rFonts w:ascii="宋体" w:hAnsi="宋体" w:eastAsia="宋体"/>
              <w:sz w:val="32"/>
              <w:szCs w:val="32"/>
            </w:rPr>
            <w:t>录</w:t>
          </w:r>
        </w:p>
        <w:p>
          <w:pPr>
            <w:pStyle w:val="9"/>
            <w:tabs>
              <w:tab w:val="right" w:leader="dot" w:pos="8306"/>
            </w:tabs>
            <w:spacing w:line="360" w:lineRule="auto"/>
          </w:pPr>
          <w:r>
            <w:rPr>
              <w:rFonts w:hint="eastAsia" w:ascii="宋体" w:hAnsi="宋体" w:eastAsia="宋体"/>
            </w:rPr>
            <w:fldChar w:fldCharType="begin"/>
          </w:r>
          <w:r>
            <w:rPr>
              <w:rFonts w:hint="eastAsia" w:ascii="宋体" w:hAnsi="宋体" w:eastAsia="宋体"/>
            </w:rPr>
            <w:instrText xml:space="preserve">TOC \o "1-3" \h \u </w:instrText>
          </w:r>
          <w:r>
            <w:rPr>
              <w:rFonts w:hint="eastAsia" w:ascii="宋体" w:hAnsi="宋体" w:eastAsia="宋体"/>
            </w:rPr>
            <w:fldChar w:fldCharType="separate"/>
          </w:r>
          <w:r>
            <w:fldChar w:fldCharType="begin"/>
          </w:r>
          <w:r>
            <w:instrText xml:space="preserve"> HYPERLINK \l "_Toc26345" </w:instrText>
          </w:r>
          <w:r>
            <w:fldChar w:fldCharType="separate"/>
          </w:r>
          <w:r>
            <w:rPr>
              <w:rFonts w:hint="eastAsia" w:ascii="微软雅黑" w:hAnsi="微软雅黑" w:eastAsia="微软雅黑" w:cs="微软雅黑"/>
              <w:sz w:val="28"/>
              <w:szCs w:val="28"/>
            </w:rPr>
            <w:t>商丘商贸学校2022年度教育质量年度报告</w:t>
          </w:r>
          <w:r>
            <w:rPr>
              <w:rFonts w:hint="eastAsia" w:ascii="微软雅黑" w:hAnsi="微软雅黑" w:eastAsia="微软雅黑" w:cs="微软雅黑"/>
              <w:sz w:val="28"/>
              <w:szCs w:val="28"/>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_Toc26345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pPr>
            <w:pStyle w:val="9"/>
            <w:tabs>
              <w:tab w:val="right" w:leader="dot" w:pos="8306"/>
            </w:tabs>
            <w:spacing w:line="360" w:lineRule="auto"/>
          </w:pPr>
          <w:r>
            <w:fldChar w:fldCharType="begin"/>
          </w:r>
          <w:r>
            <w:instrText xml:space="preserve"> HYPERLINK \l "_Toc24440" </w:instrText>
          </w:r>
          <w:r>
            <w:fldChar w:fldCharType="separate"/>
          </w:r>
          <w:r>
            <w:rPr>
              <w:rFonts w:hint="eastAsia" w:ascii="微软雅黑" w:hAnsi="微软雅黑" w:eastAsia="微软雅黑" w:cs="微软雅黑"/>
              <w:sz w:val="28"/>
              <w:szCs w:val="28"/>
            </w:rPr>
            <w:t>1.学校情况</w:t>
          </w:r>
          <w:r>
            <w:tab/>
          </w:r>
          <w:r>
            <w:fldChar w:fldCharType="begin"/>
          </w:r>
          <w:r>
            <w:instrText xml:space="preserve"> PAGEREF _Toc24440 </w:instrText>
          </w:r>
          <w:r>
            <w:fldChar w:fldCharType="separate"/>
          </w:r>
          <w:r>
            <w:t>1</w:t>
          </w:r>
          <w:r>
            <w:fldChar w:fldCharType="end"/>
          </w:r>
          <w:r>
            <w:fldChar w:fldCharType="end"/>
          </w:r>
        </w:p>
        <w:p>
          <w:pPr>
            <w:pStyle w:val="10"/>
            <w:tabs>
              <w:tab w:val="right" w:leader="dot" w:pos="8306"/>
            </w:tabs>
            <w:spacing w:line="360" w:lineRule="auto"/>
            <w:rPr>
              <w:sz w:val="28"/>
              <w:szCs w:val="28"/>
            </w:rPr>
          </w:pPr>
          <w:r>
            <w:fldChar w:fldCharType="begin"/>
          </w:r>
          <w:r>
            <w:instrText xml:space="preserve"> HYPERLINK \l "_Toc29778" </w:instrText>
          </w:r>
          <w:r>
            <w:fldChar w:fldCharType="separate"/>
          </w:r>
          <w:r>
            <w:rPr>
              <w:rFonts w:hint="eastAsia" w:asciiTheme="majorEastAsia" w:hAnsiTheme="majorEastAsia" w:eastAsiaTheme="majorEastAsia" w:cstheme="majorEastAsia"/>
              <w:sz w:val="28"/>
              <w:szCs w:val="28"/>
            </w:rPr>
            <w:t>1.1学校概况</w:t>
          </w:r>
          <w:r>
            <w:rPr>
              <w:sz w:val="28"/>
              <w:szCs w:val="28"/>
            </w:rPr>
            <w:tab/>
          </w:r>
          <w:r>
            <w:rPr>
              <w:sz w:val="28"/>
              <w:szCs w:val="28"/>
            </w:rPr>
            <w:fldChar w:fldCharType="begin"/>
          </w:r>
          <w:r>
            <w:rPr>
              <w:sz w:val="28"/>
              <w:szCs w:val="28"/>
            </w:rPr>
            <w:instrText xml:space="preserve"> PAGEREF _Toc29778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"_Toc8996" </w:instrText>
          </w:r>
          <w:r>
            <w:fldChar w:fldCharType="separate"/>
          </w:r>
          <w:r>
            <w:rPr>
              <w:rFonts w:hint="eastAsia" w:asciiTheme="majorEastAsia" w:hAnsiTheme="majorEastAsia" w:eastAsiaTheme="majorEastAsia" w:cstheme="majorEastAsia"/>
              <w:sz w:val="28"/>
              <w:szCs w:val="28"/>
            </w:rPr>
            <w:t>1.2学校情况</w:t>
          </w:r>
          <w:r>
            <w:rPr>
              <w:sz w:val="28"/>
              <w:szCs w:val="28"/>
            </w:rPr>
            <w:tab/>
          </w:r>
          <w:r>
            <w:rPr>
              <w:sz w:val="28"/>
              <w:szCs w:val="28"/>
            </w:rPr>
            <w:fldChar w:fldCharType="begin"/>
          </w:r>
          <w:r>
            <w:rPr>
              <w:sz w:val="28"/>
              <w:szCs w:val="28"/>
            </w:rPr>
            <w:instrText xml:space="preserve"> PAGEREF _Toc8996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"_Toc21439" </w:instrText>
          </w:r>
          <w:r>
            <w:fldChar w:fldCharType="separate"/>
          </w:r>
          <w:r>
            <w:rPr>
              <w:rFonts w:hint="eastAsia"/>
              <w:sz w:val="28"/>
              <w:szCs w:val="28"/>
            </w:rPr>
            <w:t>1.2.1 招生规模、在校生规模、毕业生规模</w:t>
          </w:r>
          <w:r>
            <w:rPr>
              <w:sz w:val="28"/>
              <w:szCs w:val="28"/>
            </w:rPr>
            <w:tab/>
          </w:r>
          <w:r>
            <w:rPr>
              <w:sz w:val="28"/>
              <w:szCs w:val="28"/>
            </w:rPr>
            <w:fldChar w:fldCharType="begin"/>
          </w:r>
          <w:r>
            <w:rPr>
              <w:sz w:val="28"/>
              <w:szCs w:val="28"/>
            </w:rPr>
            <w:instrText xml:space="preserve"> PAGEREF _Toc21439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"_Toc15145" </w:instrText>
          </w:r>
          <w:r>
            <w:fldChar w:fldCharType="separate"/>
          </w:r>
          <w:r>
            <w:rPr>
              <w:rFonts w:hint="eastAsia"/>
              <w:sz w:val="28"/>
              <w:szCs w:val="28"/>
            </w:rPr>
            <w:t>1.2.2 学生结构</w:t>
          </w:r>
          <w:r>
            <w:rPr>
              <w:sz w:val="28"/>
              <w:szCs w:val="28"/>
            </w:rPr>
            <w:tab/>
          </w:r>
          <w:r>
            <w:rPr>
              <w:sz w:val="28"/>
              <w:szCs w:val="28"/>
            </w:rPr>
            <w:fldChar w:fldCharType="begin"/>
          </w:r>
          <w:r>
            <w:rPr>
              <w:sz w:val="28"/>
              <w:szCs w:val="28"/>
            </w:rPr>
            <w:instrText xml:space="preserve"> PAGEREF _Toc15145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"_Toc18408" </w:instrText>
          </w:r>
          <w:r>
            <w:fldChar w:fldCharType="separate"/>
          </w:r>
          <w:r>
            <w:rPr>
              <w:rFonts w:hint="eastAsia"/>
              <w:sz w:val="28"/>
              <w:szCs w:val="28"/>
            </w:rPr>
            <w:t>1.2.3培训规模等数据</w:t>
          </w:r>
          <w:r>
            <w:rPr>
              <w:sz w:val="28"/>
              <w:szCs w:val="28"/>
            </w:rPr>
            <w:tab/>
          </w:r>
          <w:r>
            <w:rPr>
              <w:sz w:val="28"/>
              <w:szCs w:val="28"/>
            </w:rPr>
            <w:fldChar w:fldCharType="begin"/>
          </w:r>
          <w:r>
            <w:rPr>
              <w:sz w:val="28"/>
              <w:szCs w:val="28"/>
            </w:rPr>
            <w:instrText xml:space="preserve"> PAGEREF _Toc18408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"_Toc3238" </w:instrText>
          </w:r>
          <w:r>
            <w:fldChar w:fldCharType="separate"/>
          </w:r>
          <w:r>
            <w:rPr>
              <w:rFonts w:hint="eastAsia" w:asciiTheme="majorEastAsia" w:hAnsiTheme="majorEastAsia" w:eastAsiaTheme="majorEastAsia" w:cstheme="majorEastAsia"/>
              <w:sz w:val="28"/>
              <w:szCs w:val="28"/>
            </w:rPr>
            <w:t>1.3教师队伍</w:t>
          </w:r>
          <w:r>
            <w:rPr>
              <w:sz w:val="28"/>
              <w:szCs w:val="28"/>
            </w:rPr>
            <w:tab/>
          </w:r>
          <w:r>
            <w:rPr>
              <w:sz w:val="28"/>
              <w:szCs w:val="28"/>
            </w:rPr>
            <w:fldChar w:fldCharType="begin"/>
          </w:r>
          <w:r>
            <w:rPr>
              <w:sz w:val="28"/>
              <w:szCs w:val="28"/>
            </w:rPr>
            <w:instrText xml:space="preserve"> PAGEREF _Toc3238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"_Toc8618" </w:instrText>
          </w:r>
          <w:r>
            <w:fldChar w:fldCharType="separate"/>
          </w:r>
          <w:r>
            <w:rPr>
              <w:rFonts w:hint="eastAsia" w:asciiTheme="majorEastAsia" w:hAnsiTheme="majorEastAsia" w:eastAsiaTheme="majorEastAsia" w:cstheme="majorEastAsia"/>
              <w:sz w:val="28"/>
              <w:szCs w:val="28"/>
            </w:rPr>
            <w:t>1.4设施设备 </w:t>
          </w:r>
          <w:r>
            <w:rPr>
              <w:sz w:val="28"/>
              <w:szCs w:val="28"/>
            </w:rPr>
            <w:tab/>
          </w:r>
          <w:r>
            <w:rPr>
              <w:sz w:val="28"/>
              <w:szCs w:val="28"/>
            </w:rPr>
            <w:fldChar w:fldCharType="begin"/>
          </w:r>
          <w:r>
            <w:rPr>
              <w:sz w:val="28"/>
              <w:szCs w:val="28"/>
            </w:rPr>
            <w:instrText xml:space="preserve"> PAGEREF _Toc8618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spacing w:line="360" w:lineRule="auto"/>
            <w:rPr>
              <w:sz w:val="28"/>
              <w:szCs w:val="28"/>
            </w:rPr>
          </w:pPr>
          <w:r>
            <w:fldChar w:fldCharType="begin"/>
          </w:r>
          <w:r>
            <w:instrText xml:space="preserve"> HYPERLINK \l "_Toc3156" </w:instrText>
          </w:r>
          <w:r>
            <w:fldChar w:fldCharType="separate"/>
          </w:r>
          <w:r>
            <w:rPr>
              <w:rFonts w:hint="eastAsia" w:ascii="微软雅黑" w:hAnsi="微软雅黑" w:eastAsia="微软雅黑" w:cs="微软雅黑"/>
              <w:bCs/>
              <w:sz w:val="28"/>
              <w:szCs w:val="28"/>
            </w:rPr>
            <w:t>2.学生发展</w:t>
          </w:r>
          <w:r>
            <w:rPr>
              <w:sz w:val="28"/>
              <w:szCs w:val="28"/>
            </w:rPr>
            <w:tab/>
          </w:r>
          <w:r>
            <w:rPr>
              <w:sz w:val="28"/>
              <w:szCs w:val="28"/>
            </w:rPr>
            <w:fldChar w:fldCharType="begin"/>
          </w:r>
          <w:r>
            <w:rPr>
              <w:sz w:val="28"/>
              <w:szCs w:val="28"/>
            </w:rPr>
            <w:instrText xml:space="preserve"> PAGEREF _Toc3156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"_Toc5348" </w:instrText>
          </w:r>
          <w:r>
            <w:fldChar w:fldCharType="separate"/>
          </w:r>
          <w:r>
            <w:rPr>
              <w:rFonts w:hint="eastAsia" w:asciiTheme="majorEastAsia" w:hAnsiTheme="majorEastAsia" w:eastAsiaTheme="majorEastAsia" w:cstheme="majorEastAsia"/>
              <w:sz w:val="28"/>
              <w:szCs w:val="28"/>
            </w:rPr>
            <w:t>2.1学生素质</w:t>
          </w:r>
          <w:r>
            <w:rPr>
              <w:sz w:val="28"/>
              <w:szCs w:val="28"/>
            </w:rPr>
            <w:tab/>
          </w:r>
          <w:r>
            <w:rPr>
              <w:sz w:val="28"/>
              <w:szCs w:val="28"/>
            </w:rPr>
            <w:fldChar w:fldCharType="begin"/>
          </w:r>
          <w:r>
            <w:rPr>
              <w:sz w:val="28"/>
              <w:szCs w:val="28"/>
            </w:rPr>
            <w:instrText xml:space="preserve"> PAGEREF _Toc5348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"_Toc4216" </w:instrText>
          </w:r>
          <w:r>
            <w:fldChar w:fldCharType="separate"/>
          </w:r>
          <w:r>
            <w:rPr>
              <w:rFonts w:hint="eastAsia" w:asciiTheme="majorEastAsia" w:hAnsiTheme="majorEastAsia" w:eastAsiaTheme="majorEastAsia" w:cstheme="majorEastAsia"/>
              <w:sz w:val="28"/>
              <w:szCs w:val="28"/>
            </w:rPr>
            <w:t>2.2在校体验</w:t>
          </w:r>
          <w:r>
            <w:rPr>
              <w:sz w:val="28"/>
              <w:szCs w:val="28"/>
            </w:rPr>
            <w:tab/>
          </w:r>
          <w:r>
            <w:rPr>
              <w:sz w:val="28"/>
              <w:szCs w:val="28"/>
            </w:rPr>
            <w:fldChar w:fldCharType="begin"/>
          </w:r>
          <w:r>
            <w:rPr>
              <w:sz w:val="28"/>
              <w:szCs w:val="28"/>
            </w:rPr>
            <w:instrText xml:space="preserve"> PAGEREF _Toc4216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"_Toc20770" </w:instrText>
          </w:r>
          <w:r>
            <w:fldChar w:fldCharType="separate"/>
          </w:r>
          <w:r>
            <w:rPr>
              <w:rFonts w:hint="eastAsia" w:asciiTheme="majorEastAsia" w:hAnsiTheme="majorEastAsia" w:eastAsiaTheme="majorEastAsia" w:cstheme="majorEastAsia"/>
              <w:sz w:val="28"/>
              <w:szCs w:val="28"/>
            </w:rPr>
            <w:t>2.3资助情况</w:t>
          </w:r>
          <w:r>
            <w:rPr>
              <w:sz w:val="28"/>
              <w:szCs w:val="28"/>
            </w:rPr>
            <w:tab/>
          </w:r>
          <w:r>
            <w:rPr>
              <w:sz w:val="28"/>
              <w:szCs w:val="28"/>
            </w:rPr>
            <w:fldChar w:fldCharType="begin"/>
          </w:r>
          <w:r>
            <w:rPr>
              <w:sz w:val="28"/>
              <w:szCs w:val="28"/>
            </w:rPr>
            <w:instrText xml:space="preserve"> PAGEREF _Toc20770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"_Toc23394" </w:instrText>
          </w:r>
          <w:r>
            <w:fldChar w:fldCharType="separate"/>
          </w:r>
          <w:r>
            <w:rPr>
              <w:rFonts w:hint="eastAsia" w:asciiTheme="majorEastAsia" w:hAnsiTheme="majorEastAsia" w:eastAsiaTheme="majorEastAsia" w:cstheme="majorEastAsia"/>
              <w:sz w:val="28"/>
              <w:szCs w:val="28"/>
            </w:rPr>
            <w:t>2.4就业质量</w:t>
          </w:r>
          <w:r>
            <w:rPr>
              <w:sz w:val="28"/>
              <w:szCs w:val="28"/>
            </w:rPr>
            <w:tab/>
          </w:r>
          <w:r>
            <w:rPr>
              <w:sz w:val="28"/>
              <w:szCs w:val="28"/>
            </w:rPr>
            <w:fldChar w:fldCharType="begin"/>
          </w:r>
          <w:r>
            <w:rPr>
              <w:sz w:val="28"/>
              <w:szCs w:val="28"/>
            </w:rPr>
            <w:instrText xml:space="preserve"> PAGEREF _Toc23394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"_Toc25759" </w:instrText>
          </w:r>
          <w:r>
            <w:fldChar w:fldCharType="separate"/>
          </w:r>
          <w:r>
            <w:rPr>
              <w:rFonts w:hint="eastAsia" w:asciiTheme="majorEastAsia" w:hAnsiTheme="majorEastAsia" w:eastAsiaTheme="majorEastAsia" w:cstheme="majorEastAsia"/>
              <w:sz w:val="28"/>
              <w:szCs w:val="28"/>
            </w:rPr>
            <w:t>2.5职业发展</w:t>
          </w:r>
          <w:r>
            <w:rPr>
              <w:sz w:val="28"/>
              <w:szCs w:val="28"/>
            </w:rPr>
            <w:tab/>
          </w:r>
          <w:r>
            <w:rPr>
              <w:sz w:val="28"/>
              <w:szCs w:val="28"/>
            </w:rPr>
            <w:fldChar w:fldCharType="begin"/>
          </w:r>
          <w:r>
            <w:rPr>
              <w:sz w:val="28"/>
              <w:szCs w:val="28"/>
            </w:rPr>
            <w:instrText xml:space="preserve"> PAGEREF _Toc25759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spacing w:line="360" w:lineRule="auto"/>
            <w:rPr>
              <w:sz w:val="28"/>
              <w:szCs w:val="28"/>
            </w:rPr>
          </w:pPr>
          <w:r>
            <w:fldChar w:fldCharType="begin"/>
          </w:r>
          <w:r>
            <w:instrText xml:space="preserve"> HYPERLINK \l "_Toc27357" </w:instrText>
          </w:r>
          <w:r>
            <w:fldChar w:fldCharType="separate"/>
          </w:r>
          <w:r>
            <w:rPr>
              <w:rFonts w:hint="eastAsia" w:ascii="微软雅黑" w:hAnsi="微软雅黑" w:eastAsia="微软雅黑" w:cs="微软雅黑"/>
              <w:bCs/>
              <w:sz w:val="28"/>
              <w:szCs w:val="28"/>
            </w:rPr>
            <w:t>3.质量保障措施</w:t>
          </w:r>
          <w:r>
            <w:rPr>
              <w:sz w:val="28"/>
              <w:szCs w:val="28"/>
            </w:rPr>
            <w:tab/>
          </w:r>
          <w:r>
            <w:rPr>
              <w:sz w:val="28"/>
              <w:szCs w:val="28"/>
            </w:rPr>
            <w:fldChar w:fldCharType="begin"/>
          </w:r>
          <w:r>
            <w:rPr>
              <w:sz w:val="28"/>
              <w:szCs w:val="28"/>
            </w:rPr>
            <w:instrText xml:space="preserve"> PAGEREF _Toc27357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"_Toc25711" </w:instrText>
          </w:r>
          <w:r>
            <w:fldChar w:fldCharType="separate"/>
          </w:r>
          <w:r>
            <w:rPr>
              <w:rFonts w:hint="eastAsia" w:asciiTheme="majorEastAsia" w:hAnsiTheme="majorEastAsia" w:eastAsiaTheme="majorEastAsia" w:cstheme="majorEastAsia"/>
              <w:sz w:val="28"/>
              <w:szCs w:val="28"/>
            </w:rPr>
            <w:t>3.1专业动态调整</w:t>
          </w:r>
          <w:r>
            <w:rPr>
              <w:sz w:val="28"/>
              <w:szCs w:val="28"/>
            </w:rPr>
            <w:tab/>
          </w:r>
          <w:r>
            <w:rPr>
              <w:sz w:val="28"/>
              <w:szCs w:val="28"/>
            </w:rPr>
            <w:fldChar w:fldCharType="begin"/>
          </w:r>
          <w:r>
            <w:rPr>
              <w:sz w:val="28"/>
              <w:szCs w:val="28"/>
            </w:rPr>
            <w:instrText xml:space="preserve"> PAGEREF _Toc25711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"_Toc15431" </w:instrText>
          </w:r>
          <w:r>
            <w:fldChar w:fldCharType="separate"/>
          </w:r>
          <w:r>
            <w:rPr>
              <w:rFonts w:hint="eastAsia" w:asciiTheme="majorEastAsia" w:hAnsiTheme="majorEastAsia" w:eastAsiaTheme="majorEastAsia" w:cstheme="majorEastAsia"/>
              <w:sz w:val="28"/>
              <w:szCs w:val="28"/>
            </w:rPr>
            <w:t>3.2教育教学改革</w:t>
          </w:r>
          <w:r>
            <w:rPr>
              <w:sz w:val="28"/>
              <w:szCs w:val="28"/>
            </w:rPr>
            <w:tab/>
          </w:r>
          <w:r>
            <w:rPr>
              <w:sz w:val="28"/>
              <w:szCs w:val="28"/>
            </w:rPr>
            <w:fldChar w:fldCharType="begin"/>
          </w:r>
          <w:r>
            <w:rPr>
              <w:sz w:val="28"/>
              <w:szCs w:val="28"/>
            </w:rPr>
            <w:instrText xml:space="preserve"> PAGEREF _Toc15431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"_Toc27334" </w:instrText>
          </w:r>
          <w:r>
            <w:fldChar w:fldCharType="separate"/>
          </w:r>
          <w:r>
            <w:rPr>
              <w:rFonts w:hint="eastAsia" w:asciiTheme="majorEastAsia" w:hAnsiTheme="majorEastAsia" w:eastAsiaTheme="majorEastAsia" w:cstheme="majorEastAsia"/>
              <w:sz w:val="28"/>
              <w:szCs w:val="28"/>
            </w:rPr>
            <w:t>3.3教师培养培训</w:t>
          </w:r>
          <w:r>
            <w:rPr>
              <w:sz w:val="28"/>
              <w:szCs w:val="28"/>
            </w:rPr>
            <w:tab/>
          </w:r>
          <w:r>
            <w:rPr>
              <w:sz w:val="28"/>
              <w:szCs w:val="28"/>
            </w:rPr>
            <w:fldChar w:fldCharType="begin"/>
          </w:r>
          <w:r>
            <w:rPr>
              <w:sz w:val="28"/>
              <w:szCs w:val="28"/>
            </w:rPr>
            <w:instrText xml:space="preserve"> PAGEREF _Toc27334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"_Toc29216" </w:instrText>
          </w:r>
          <w:r>
            <w:fldChar w:fldCharType="separate"/>
          </w:r>
          <w:r>
            <w:rPr>
              <w:rFonts w:hint="eastAsia" w:asciiTheme="majorEastAsia" w:hAnsiTheme="majorEastAsia" w:eastAsiaTheme="majorEastAsia" w:cstheme="majorEastAsia"/>
              <w:sz w:val="28"/>
              <w:szCs w:val="28"/>
            </w:rPr>
            <w:t>3.4规范管理情况</w:t>
          </w:r>
          <w:r>
            <w:rPr>
              <w:sz w:val="28"/>
              <w:szCs w:val="28"/>
            </w:rPr>
            <w:tab/>
          </w:r>
          <w:r>
            <w:rPr>
              <w:sz w:val="28"/>
              <w:szCs w:val="28"/>
            </w:rPr>
            <w:fldChar w:fldCharType="begin"/>
          </w:r>
          <w:r>
            <w:rPr>
              <w:sz w:val="28"/>
              <w:szCs w:val="28"/>
            </w:rPr>
            <w:instrText xml:space="preserve"> PAGEREF _Toc29216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"_Toc17598" </w:instrText>
          </w:r>
          <w:r>
            <w:fldChar w:fldCharType="separate"/>
          </w:r>
          <w:r>
            <w:rPr>
              <w:rFonts w:hint="eastAsia"/>
              <w:sz w:val="28"/>
              <w:szCs w:val="28"/>
            </w:rPr>
            <w:t>3.4.1教学管理规范运行</w:t>
          </w:r>
          <w:r>
            <w:rPr>
              <w:sz w:val="28"/>
              <w:szCs w:val="28"/>
            </w:rPr>
            <w:tab/>
          </w:r>
          <w:r>
            <w:rPr>
              <w:sz w:val="28"/>
              <w:szCs w:val="28"/>
            </w:rPr>
            <w:fldChar w:fldCharType="begin"/>
          </w:r>
          <w:r>
            <w:rPr>
              <w:sz w:val="28"/>
              <w:szCs w:val="28"/>
            </w:rPr>
            <w:instrText xml:space="preserve"> PAGEREF _Toc17598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"_Toc28495" </w:instrText>
          </w:r>
          <w:r>
            <w:fldChar w:fldCharType="separate"/>
          </w:r>
          <w:r>
            <w:rPr>
              <w:rFonts w:hint="eastAsia"/>
              <w:sz w:val="28"/>
              <w:szCs w:val="28"/>
            </w:rPr>
            <w:t>3.4.2学生管理创新开展</w:t>
          </w:r>
          <w:r>
            <w:rPr>
              <w:sz w:val="28"/>
              <w:szCs w:val="28"/>
            </w:rPr>
            <w:tab/>
          </w:r>
          <w:r>
            <w:rPr>
              <w:sz w:val="28"/>
              <w:szCs w:val="28"/>
            </w:rPr>
            <w:fldChar w:fldCharType="begin"/>
          </w:r>
          <w:r>
            <w:rPr>
              <w:sz w:val="28"/>
              <w:szCs w:val="28"/>
            </w:rPr>
            <w:instrText xml:space="preserve"> PAGEREF _Toc28495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"_Toc13067" </w:instrText>
          </w:r>
          <w:r>
            <w:fldChar w:fldCharType="separate"/>
          </w:r>
          <w:r>
            <w:rPr>
              <w:rFonts w:hint="eastAsia"/>
              <w:sz w:val="28"/>
              <w:szCs w:val="28"/>
            </w:rPr>
            <w:t>3.4.3后勤服务规范有序</w:t>
          </w:r>
          <w:r>
            <w:rPr>
              <w:sz w:val="28"/>
              <w:szCs w:val="28"/>
            </w:rPr>
            <w:tab/>
          </w:r>
          <w:r>
            <w:rPr>
              <w:sz w:val="28"/>
              <w:szCs w:val="28"/>
            </w:rPr>
            <w:fldChar w:fldCharType="begin"/>
          </w:r>
          <w:r>
            <w:rPr>
              <w:sz w:val="28"/>
              <w:szCs w:val="28"/>
            </w:rPr>
            <w:instrText xml:space="preserve"> PAGEREF _Toc13067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"_Toc23931" </w:instrText>
          </w:r>
          <w:r>
            <w:fldChar w:fldCharType="separate"/>
          </w:r>
          <w:r>
            <w:rPr>
              <w:rFonts w:hint="eastAsia"/>
              <w:sz w:val="28"/>
              <w:szCs w:val="28"/>
            </w:rPr>
            <w:t>3.4.4强化安全教育</w:t>
          </w:r>
          <w:r>
            <w:rPr>
              <w:sz w:val="28"/>
              <w:szCs w:val="28"/>
            </w:rPr>
            <w:tab/>
          </w:r>
          <w:r>
            <w:rPr>
              <w:sz w:val="28"/>
              <w:szCs w:val="28"/>
            </w:rPr>
            <w:fldChar w:fldCharType="begin"/>
          </w:r>
          <w:r>
            <w:rPr>
              <w:sz w:val="28"/>
              <w:szCs w:val="28"/>
            </w:rPr>
            <w:instrText xml:space="preserve"> PAGEREF _Toc23931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"_Toc32117" </w:instrText>
          </w:r>
          <w:r>
            <w:fldChar w:fldCharType="separate"/>
          </w:r>
          <w:r>
            <w:rPr>
              <w:rFonts w:hint="eastAsia"/>
              <w:sz w:val="28"/>
              <w:szCs w:val="28"/>
            </w:rPr>
            <w:t>3.4.5科研管理成效显著</w:t>
          </w:r>
          <w:r>
            <w:rPr>
              <w:sz w:val="28"/>
              <w:szCs w:val="28"/>
            </w:rPr>
            <w:tab/>
          </w:r>
          <w:r>
            <w:rPr>
              <w:sz w:val="28"/>
              <w:szCs w:val="28"/>
            </w:rPr>
            <w:fldChar w:fldCharType="begin"/>
          </w:r>
          <w:r>
            <w:rPr>
              <w:sz w:val="28"/>
              <w:szCs w:val="28"/>
            </w:rPr>
            <w:instrText xml:space="preserve"> PAGEREF _Toc32117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"_Toc32539" </w:instrText>
          </w:r>
          <w:r>
            <w:fldChar w:fldCharType="separate"/>
          </w:r>
          <w:r>
            <w:rPr>
              <w:rFonts w:hint="eastAsia" w:asciiTheme="majorEastAsia" w:hAnsiTheme="majorEastAsia" w:eastAsiaTheme="majorEastAsia" w:cstheme="majorEastAsia"/>
              <w:sz w:val="28"/>
              <w:szCs w:val="28"/>
            </w:rPr>
            <w:t>3.5德育工作情况</w:t>
          </w:r>
          <w:r>
            <w:rPr>
              <w:sz w:val="28"/>
              <w:szCs w:val="28"/>
            </w:rPr>
            <w:tab/>
          </w:r>
          <w:r>
            <w:rPr>
              <w:sz w:val="28"/>
              <w:szCs w:val="28"/>
            </w:rPr>
            <w:fldChar w:fldCharType="begin"/>
          </w:r>
          <w:r>
            <w:rPr>
              <w:sz w:val="28"/>
              <w:szCs w:val="28"/>
            </w:rPr>
            <w:instrText xml:space="preserve"> PAGEREF _Toc32539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"_Toc22298" </w:instrText>
          </w:r>
          <w:r>
            <w:fldChar w:fldCharType="separate"/>
          </w:r>
          <w:r>
            <w:rPr>
              <w:rFonts w:hint="eastAsia"/>
              <w:sz w:val="28"/>
              <w:szCs w:val="28"/>
            </w:rPr>
            <w:t>3.5.1德育课实施情况</w:t>
          </w:r>
          <w:r>
            <w:rPr>
              <w:sz w:val="28"/>
              <w:szCs w:val="28"/>
            </w:rPr>
            <w:tab/>
          </w:r>
          <w:r>
            <w:rPr>
              <w:sz w:val="28"/>
              <w:szCs w:val="28"/>
            </w:rPr>
            <w:fldChar w:fldCharType="begin"/>
          </w:r>
          <w:r>
            <w:rPr>
              <w:sz w:val="28"/>
              <w:szCs w:val="28"/>
            </w:rPr>
            <w:instrText xml:space="preserve"> PAGEREF _Toc22298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"_Toc29494" </w:instrText>
          </w:r>
          <w:r>
            <w:fldChar w:fldCharType="separate"/>
          </w:r>
          <w:r>
            <w:rPr>
              <w:rFonts w:hint="eastAsia"/>
              <w:sz w:val="28"/>
              <w:szCs w:val="28"/>
            </w:rPr>
            <w:t>3.5.2校园文化建设</w:t>
          </w:r>
          <w:r>
            <w:rPr>
              <w:sz w:val="28"/>
              <w:szCs w:val="28"/>
            </w:rPr>
            <w:tab/>
          </w:r>
          <w:r>
            <w:rPr>
              <w:sz w:val="28"/>
              <w:szCs w:val="28"/>
            </w:rPr>
            <w:fldChar w:fldCharType="begin"/>
          </w:r>
          <w:r>
            <w:rPr>
              <w:sz w:val="28"/>
              <w:szCs w:val="28"/>
            </w:rPr>
            <w:instrText xml:space="preserve"> PAGEREF _Toc29494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"_Toc16836" </w:instrText>
          </w:r>
          <w:r>
            <w:fldChar w:fldCharType="separate"/>
          </w:r>
          <w:r>
            <w:rPr>
              <w:rFonts w:hint="eastAsia"/>
              <w:sz w:val="28"/>
              <w:szCs w:val="28"/>
            </w:rPr>
            <w:t>3.5.3文明风采活动开展情况</w:t>
          </w:r>
          <w:r>
            <w:rPr>
              <w:sz w:val="28"/>
              <w:szCs w:val="28"/>
            </w:rPr>
            <w:tab/>
          </w:r>
          <w:r>
            <w:rPr>
              <w:sz w:val="28"/>
              <w:szCs w:val="28"/>
            </w:rPr>
            <w:fldChar w:fldCharType="begin"/>
          </w:r>
          <w:r>
            <w:rPr>
              <w:sz w:val="28"/>
              <w:szCs w:val="28"/>
            </w:rPr>
            <w:instrText xml:space="preserve"> PAGEREF _Toc16836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"_Toc32742" </w:instrText>
          </w:r>
          <w:r>
            <w:fldChar w:fldCharType="separate"/>
          </w:r>
          <w:r>
            <w:rPr>
              <w:rFonts w:hint="eastAsia"/>
              <w:sz w:val="28"/>
              <w:szCs w:val="28"/>
            </w:rPr>
            <w:t>3.5.4社团活动、团组织学生会建设及活动</w:t>
          </w:r>
          <w:r>
            <w:rPr>
              <w:sz w:val="28"/>
              <w:szCs w:val="28"/>
            </w:rPr>
            <w:tab/>
          </w:r>
          <w:r>
            <w:rPr>
              <w:sz w:val="28"/>
              <w:szCs w:val="28"/>
            </w:rPr>
            <w:fldChar w:fldCharType="begin"/>
          </w:r>
          <w:r>
            <w:rPr>
              <w:sz w:val="28"/>
              <w:szCs w:val="28"/>
            </w:rPr>
            <w:instrText xml:space="preserve"> PAGEREF _Toc32742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"_Toc20687" </w:instrText>
          </w:r>
          <w:r>
            <w:fldChar w:fldCharType="separate"/>
          </w:r>
          <w:r>
            <w:rPr>
              <w:rFonts w:hint="eastAsia" w:asciiTheme="majorEastAsia" w:hAnsiTheme="majorEastAsia" w:eastAsiaTheme="majorEastAsia" w:cstheme="majorEastAsia"/>
              <w:sz w:val="28"/>
              <w:szCs w:val="28"/>
            </w:rPr>
            <w:t>3.6党建情况</w:t>
          </w:r>
          <w:r>
            <w:rPr>
              <w:sz w:val="28"/>
              <w:szCs w:val="28"/>
            </w:rPr>
            <w:tab/>
          </w:r>
          <w:r>
            <w:rPr>
              <w:sz w:val="28"/>
              <w:szCs w:val="28"/>
            </w:rPr>
            <w:fldChar w:fldCharType="begin"/>
          </w:r>
          <w:r>
            <w:rPr>
              <w:sz w:val="28"/>
              <w:szCs w:val="28"/>
            </w:rPr>
            <w:instrText xml:space="preserve"> PAGEREF _Toc20687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9"/>
            <w:tabs>
              <w:tab w:val="right" w:leader="dot" w:pos="8306"/>
            </w:tabs>
            <w:spacing w:line="360" w:lineRule="auto"/>
            <w:rPr>
              <w:sz w:val="28"/>
              <w:szCs w:val="28"/>
            </w:rPr>
          </w:pPr>
          <w:r>
            <w:fldChar w:fldCharType="begin"/>
          </w:r>
          <w:r>
            <w:instrText xml:space="preserve"> HYPERLINK \l "_Toc25107" </w:instrText>
          </w:r>
          <w:r>
            <w:fldChar w:fldCharType="separate"/>
          </w:r>
          <w:r>
            <w:rPr>
              <w:rFonts w:hint="eastAsia" w:ascii="微软雅黑" w:hAnsi="微软雅黑" w:eastAsia="微软雅黑" w:cs="微软雅黑"/>
              <w:bCs/>
              <w:sz w:val="28"/>
              <w:szCs w:val="28"/>
            </w:rPr>
            <w:t>4.校企合作</w:t>
          </w:r>
          <w:r>
            <w:rPr>
              <w:sz w:val="28"/>
              <w:szCs w:val="28"/>
            </w:rPr>
            <w:tab/>
          </w:r>
          <w:r>
            <w:rPr>
              <w:sz w:val="28"/>
              <w:szCs w:val="28"/>
            </w:rPr>
            <w:fldChar w:fldCharType="begin"/>
          </w:r>
          <w:r>
            <w:rPr>
              <w:sz w:val="28"/>
              <w:szCs w:val="28"/>
            </w:rPr>
            <w:instrText xml:space="preserve"> PAGEREF _Toc25107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"_Toc28796" </w:instrText>
          </w:r>
          <w:r>
            <w:fldChar w:fldCharType="separate"/>
          </w:r>
          <w:r>
            <w:rPr>
              <w:rFonts w:hint="eastAsia" w:asciiTheme="majorEastAsia" w:hAnsiTheme="majorEastAsia" w:eastAsiaTheme="majorEastAsia" w:cstheme="majorEastAsia"/>
              <w:sz w:val="28"/>
              <w:szCs w:val="28"/>
            </w:rPr>
            <w:t>4.1 校企合作开展情况和效果</w:t>
          </w:r>
          <w:r>
            <w:rPr>
              <w:sz w:val="28"/>
              <w:szCs w:val="28"/>
            </w:rPr>
            <w:tab/>
          </w:r>
          <w:r>
            <w:rPr>
              <w:sz w:val="28"/>
              <w:szCs w:val="28"/>
            </w:rPr>
            <w:fldChar w:fldCharType="begin"/>
          </w:r>
          <w:r>
            <w:rPr>
              <w:sz w:val="28"/>
              <w:szCs w:val="28"/>
            </w:rPr>
            <w:instrText xml:space="preserve"> PAGEREF _Toc28796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"_Toc21518" </w:instrText>
          </w:r>
          <w:r>
            <w:fldChar w:fldCharType="separate"/>
          </w:r>
          <w:r>
            <w:rPr>
              <w:rFonts w:hint="eastAsia" w:asciiTheme="majorEastAsia" w:hAnsiTheme="majorEastAsia" w:eastAsiaTheme="majorEastAsia" w:cstheme="majorEastAsia"/>
              <w:bCs/>
              <w:sz w:val="28"/>
              <w:szCs w:val="28"/>
            </w:rPr>
            <w:t>4.2学生实习情况</w:t>
          </w:r>
          <w:r>
            <w:rPr>
              <w:sz w:val="28"/>
              <w:szCs w:val="28"/>
            </w:rPr>
            <w:tab/>
          </w:r>
          <w:r>
            <w:rPr>
              <w:sz w:val="28"/>
              <w:szCs w:val="28"/>
            </w:rPr>
            <w:fldChar w:fldCharType="begin"/>
          </w:r>
          <w:r>
            <w:rPr>
              <w:sz w:val="28"/>
              <w:szCs w:val="28"/>
            </w:rPr>
            <w:instrText xml:space="preserve"> PAGEREF _Toc21518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"_Toc15526" </w:instrText>
          </w:r>
          <w:r>
            <w:fldChar w:fldCharType="separate"/>
          </w:r>
          <w:r>
            <w:rPr>
              <w:rFonts w:hint="eastAsia" w:asciiTheme="majorEastAsia" w:hAnsiTheme="majorEastAsia" w:eastAsiaTheme="majorEastAsia" w:cstheme="majorEastAsia"/>
              <w:bCs/>
              <w:sz w:val="28"/>
              <w:szCs w:val="28"/>
            </w:rPr>
            <w:t>4.3集团化办学情况</w:t>
          </w:r>
          <w:r>
            <w:rPr>
              <w:sz w:val="28"/>
              <w:szCs w:val="28"/>
            </w:rPr>
            <w:tab/>
          </w:r>
          <w:r>
            <w:rPr>
              <w:sz w:val="28"/>
              <w:szCs w:val="28"/>
            </w:rPr>
            <w:fldChar w:fldCharType="begin"/>
          </w:r>
          <w:r>
            <w:rPr>
              <w:sz w:val="28"/>
              <w:szCs w:val="28"/>
            </w:rPr>
            <w:instrText xml:space="preserve"> PAGEREF _Toc15526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9"/>
            <w:tabs>
              <w:tab w:val="right" w:leader="dot" w:pos="8306"/>
            </w:tabs>
            <w:spacing w:line="360" w:lineRule="auto"/>
            <w:rPr>
              <w:sz w:val="28"/>
              <w:szCs w:val="28"/>
            </w:rPr>
          </w:pPr>
          <w:r>
            <w:fldChar w:fldCharType="begin"/>
          </w:r>
          <w:r>
            <w:instrText xml:space="preserve"> HYPERLINK \l "_Toc18922" </w:instrText>
          </w:r>
          <w:r>
            <w:fldChar w:fldCharType="separate"/>
          </w:r>
          <w:r>
            <w:rPr>
              <w:rFonts w:hint="eastAsia" w:ascii="微软雅黑" w:hAnsi="微软雅黑" w:eastAsia="微软雅黑" w:cs="微软雅黑"/>
              <w:bCs/>
              <w:sz w:val="28"/>
              <w:szCs w:val="28"/>
            </w:rPr>
            <w:t>5社会贡献</w:t>
          </w:r>
          <w:r>
            <w:rPr>
              <w:sz w:val="28"/>
              <w:szCs w:val="28"/>
            </w:rPr>
            <w:tab/>
          </w:r>
          <w:r>
            <w:rPr>
              <w:sz w:val="28"/>
              <w:szCs w:val="28"/>
            </w:rPr>
            <w:fldChar w:fldCharType="begin"/>
          </w:r>
          <w:r>
            <w:rPr>
              <w:sz w:val="28"/>
              <w:szCs w:val="28"/>
            </w:rPr>
            <w:instrText xml:space="preserve"> PAGEREF _Toc18922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"_Toc2597" </w:instrText>
          </w:r>
          <w:r>
            <w:fldChar w:fldCharType="separate"/>
          </w:r>
          <w:r>
            <w:rPr>
              <w:rFonts w:hint="eastAsia" w:asciiTheme="majorEastAsia" w:hAnsiTheme="majorEastAsia" w:eastAsiaTheme="majorEastAsia" w:cstheme="majorEastAsia"/>
              <w:sz w:val="28"/>
              <w:szCs w:val="28"/>
            </w:rPr>
            <w:t>5.1技术技能人才培养</w:t>
          </w:r>
          <w:r>
            <w:rPr>
              <w:sz w:val="28"/>
              <w:szCs w:val="28"/>
            </w:rPr>
            <w:tab/>
          </w:r>
          <w:r>
            <w:rPr>
              <w:sz w:val="28"/>
              <w:szCs w:val="28"/>
            </w:rPr>
            <w:fldChar w:fldCharType="begin"/>
          </w:r>
          <w:r>
            <w:rPr>
              <w:sz w:val="28"/>
              <w:szCs w:val="28"/>
            </w:rPr>
            <w:instrText xml:space="preserve"> PAGEREF _Toc2597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"_Toc6607" </w:instrText>
          </w:r>
          <w:r>
            <w:fldChar w:fldCharType="separate"/>
          </w:r>
          <w:r>
            <w:rPr>
              <w:rFonts w:hint="eastAsia" w:asciiTheme="majorEastAsia" w:hAnsiTheme="majorEastAsia" w:eastAsiaTheme="majorEastAsia" w:cstheme="majorEastAsia"/>
              <w:sz w:val="28"/>
              <w:szCs w:val="28"/>
            </w:rPr>
            <w:t>5.2社会服务</w:t>
          </w:r>
          <w:r>
            <w:rPr>
              <w:sz w:val="28"/>
              <w:szCs w:val="28"/>
            </w:rPr>
            <w:tab/>
          </w:r>
          <w:r>
            <w:rPr>
              <w:sz w:val="28"/>
              <w:szCs w:val="28"/>
            </w:rPr>
            <w:fldChar w:fldCharType="begin"/>
          </w:r>
          <w:r>
            <w:rPr>
              <w:sz w:val="28"/>
              <w:szCs w:val="28"/>
            </w:rPr>
            <w:instrText xml:space="preserve"> PAGEREF _Toc6607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"_Toc8307" </w:instrText>
          </w:r>
          <w:r>
            <w:fldChar w:fldCharType="separate"/>
          </w:r>
          <w:r>
            <w:rPr>
              <w:rFonts w:hint="eastAsia" w:asciiTheme="majorEastAsia" w:hAnsiTheme="majorEastAsia" w:eastAsiaTheme="majorEastAsia" w:cstheme="majorEastAsia"/>
              <w:sz w:val="28"/>
              <w:szCs w:val="28"/>
            </w:rPr>
            <w:t>5.3对口支援</w:t>
          </w:r>
          <w:r>
            <w:rPr>
              <w:sz w:val="28"/>
              <w:szCs w:val="28"/>
            </w:rPr>
            <w:tab/>
          </w:r>
          <w:r>
            <w:rPr>
              <w:sz w:val="28"/>
              <w:szCs w:val="28"/>
            </w:rPr>
            <w:fldChar w:fldCharType="begin"/>
          </w:r>
          <w:r>
            <w:rPr>
              <w:sz w:val="28"/>
              <w:szCs w:val="28"/>
            </w:rPr>
            <w:instrText xml:space="preserve"> PAGEREF _Toc8307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spacing w:line="360" w:lineRule="auto"/>
            <w:rPr>
              <w:sz w:val="28"/>
              <w:szCs w:val="28"/>
            </w:rPr>
          </w:pPr>
          <w:r>
            <w:fldChar w:fldCharType="begin"/>
          </w:r>
          <w:r>
            <w:instrText xml:space="preserve"> HYPERLINK \l "_Toc14225" </w:instrText>
          </w:r>
          <w:r>
            <w:fldChar w:fldCharType="separate"/>
          </w:r>
          <w:r>
            <w:rPr>
              <w:rFonts w:hint="eastAsia" w:ascii="微软雅黑" w:hAnsi="微软雅黑" w:eastAsia="微软雅黑" w:cs="微软雅黑"/>
              <w:bCs/>
              <w:sz w:val="28"/>
              <w:szCs w:val="28"/>
            </w:rPr>
            <w:t>6.举办者履责</w:t>
          </w:r>
          <w:r>
            <w:rPr>
              <w:sz w:val="28"/>
              <w:szCs w:val="28"/>
            </w:rPr>
            <w:tab/>
          </w:r>
          <w:r>
            <w:rPr>
              <w:sz w:val="28"/>
              <w:szCs w:val="28"/>
            </w:rPr>
            <w:fldChar w:fldCharType="begin"/>
          </w:r>
          <w:r>
            <w:rPr>
              <w:sz w:val="28"/>
              <w:szCs w:val="28"/>
            </w:rPr>
            <w:instrText xml:space="preserve"> PAGEREF _Toc14225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"_Toc19787" </w:instrText>
          </w:r>
          <w:r>
            <w:fldChar w:fldCharType="separate"/>
          </w:r>
          <w:r>
            <w:rPr>
              <w:rFonts w:hint="eastAsia" w:asciiTheme="majorEastAsia" w:hAnsiTheme="majorEastAsia" w:eastAsiaTheme="majorEastAsia" w:cstheme="majorEastAsia"/>
              <w:sz w:val="28"/>
              <w:szCs w:val="28"/>
            </w:rPr>
            <w:t>6.1经费</w:t>
          </w:r>
          <w:r>
            <w:rPr>
              <w:sz w:val="28"/>
              <w:szCs w:val="28"/>
            </w:rPr>
            <w:tab/>
          </w:r>
          <w:r>
            <w:rPr>
              <w:sz w:val="28"/>
              <w:szCs w:val="28"/>
            </w:rPr>
            <w:fldChar w:fldCharType="begin"/>
          </w:r>
          <w:r>
            <w:rPr>
              <w:sz w:val="28"/>
              <w:szCs w:val="28"/>
            </w:rPr>
            <w:instrText xml:space="preserve"> PAGEREF _Toc19787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spacing w:line="360" w:lineRule="auto"/>
            <w:rPr>
              <w:sz w:val="28"/>
              <w:szCs w:val="28"/>
            </w:rPr>
          </w:pPr>
          <w:r>
            <w:fldChar w:fldCharType="begin"/>
          </w:r>
          <w:r>
            <w:instrText xml:space="preserve"> HYPERLINK \l "_Toc9809" </w:instrText>
          </w:r>
          <w:r>
            <w:fldChar w:fldCharType="separate"/>
          </w:r>
          <w:r>
            <w:rPr>
              <w:rFonts w:hint="eastAsia" w:asciiTheme="majorEastAsia" w:hAnsiTheme="majorEastAsia" w:eastAsiaTheme="majorEastAsia" w:cstheme="majorEastAsia"/>
              <w:sz w:val="28"/>
              <w:szCs w:val="28"/>
            </w:rPr>
            <w:t>6.2政策措施</w:t>
          </w:r>
          <w:r>
            <w:rPr>
              <w:sz w:val="28"/>
              <w:szCs w:val="28"/>
            </w:rPr>
            <w:tab/>
          </w:r>
          <w:r>
            <w:rPr>
              <w:sz w:val="28"/>
              <w:szCs w:val="28"/>
            </w:rPr>
            <w:fldChar w:fldCharType="begin"/>
          </w:r>
          <w:r>
            <w:rPr>
              <w:sz w:val="28"/>
              <w:szCs w:val="28"/>
            </w:rPr>
            <w:instrText xml:space="preserve"> PAGEREF _Toc9809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"_Toc2643" </w:instrText>
          </w:r>
          <w:r>
            <w:fldChar w:fldCharType="separate"/>
          </w:r>
          <w:r>
            <w:rPr>
              <w:rFonts w:hint="eastAsia"/>
              <w:sz w:val="28"/>
              <w:szCs w:val="28"/>
            </w:rPr>
            <w:t>6.2.1提升质量 改革先行</w:t>
          </w:r>
          <w:r>
            <w:rPr>
              <w:sz w:val="28"/>
              <w:szCs w:val="28"/>
            </w:rPr>
            <w:tab/>
          </w:r>
          <w:r>
            <w:rPr>
              <w:sz w:val="28"/>
              <w:szCs w:val="28"/>
            </w:rPr>
            <w:fldChar w:fldCharType="begin"/>
          </w:r>
          <w:r>
            <w:rPr>
              <w:sz w:val="28"/>
              <w:szCs w:val="28"/>
            </w:rPr>
            <w:instrText xml:space="preserve"> PAGEREF _Toc2643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5"/>
            <w:tabs>
              <w:tab w:val="right" w:leader="dot" w:pos="8306"/>
            </w:tabs>
            <w:spacing w:line="360" w:lineRule="auto"/>
            <w:rPr>
              <w:sz w:val="28"/>
              <w:szCs w:val="28"/>
            </w:rPr>
          </w:pPr>
          <w:r>
            <w:fldChar w:fldCharType="begin"/>
          </w:r>
          <w:r>
            <w:instrText xml:space="preserve"> HYPERLINK \l "_Toc6142" </w:instrText>
          </w:r>
          <w:r>
            <w:fldChar w:fldCharType="separate"/>
          </w:r>
          <w:r>
            <w:rPr>
              <w:rFonts w:hint="eastAsia"/>
              <w:sz w:val="28"/>
              <w:szCs w:val="28"/>
            </w:rPr>
            <w:t>6.2.2完善制度 规范管理</w:t>
          </w:r>
          <w:r>
            <w:rPr>
              <w:sz w:val="28"/>
              <w:szCs w:val="28"/>
            </w:rPr>
            <w:tab/>
          </w:r>
          <w:r>
            <w:rPr>
              <w:sz w:val="28"/>
              <w:szCs w:val="28"/>
            </w:rPr>
            <w:fldChar w:fldCharType="begin"/>
          </w:r>
          <w:r>
            <w:rPr>
              <w:sz w:val="28"/>
              <w:szCs w:val="28"/>
            </w:rPr>
            <w:instrText xml:space="preserve"> PAGEREF _Toc6142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spacing w:line="360" w:lineRule="auto"/>
            <w:rPr>
              <w:sz w:val="28"/>
              <w:szCs w:val="28"/>
            </w:rPr>
          </w:pPr>
          <w:r>
            <w:fldChar w:fldCharType="begin"/>
          </w:r>
          <w:r>
            <w:instrText xml:space="preserve"> HYPERLINK \l "_Toc27928" </w:instrText>
          </w:r>
          <w:r>
            <w:fldChar w:fldCharType="separate"/>
          </w:r>
          <w:r>
            <w:rPr>
              <w:rFonts w:hint="eastAsia" w:ascii="微软雅黑" w:hAnsi="微软雅黑" w:eastAsia="微软雅黑" w:cs="微软雅黑"/>
              <w:bCs/>
              <w:sz w:val="28"/>
              <w:szCs w:val="28"/>
            </w:rPr>
            <w:t>7.特色创新</w:t>
          </w:r>
          <w:r>
            <w:rPr>
              <w:sz w:val="28"/>
              <w:szCs w:val="28"/>
            </w:rPr>
            <w:tab/>
          </w:r>
          <w:r>
            <w:rPr>
              <w:sz w:val="28"/>
              <w:szCs w:val="28"/>
            </w:rPr>
            <w:fldChar w:fldCharType="begin"/>
          </w:r>
          <w:r>
            <w:rPr>
              <w:sz w:val="28"/>
              <w:szCs w:val="28"/>
            </w:rPr>
            <w:instrText xml:space="preserve"> PAGEREF _Toc27928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9"/>
            <w:tabs>
              <w:tab w:val="right" w:leader="dot" w:pos="8306"/>
            </w:tabs>
            <w:spacing w:line="360" w:lineRule="auto"/>
          </w:pPr>
          <w:r>
            <w:fldChar w:fldCharType="begin"/>
          </w:r>
          <w:r>
            <w:instrText xml:space="preserve"> HYPERLINK \l "_Toc12773" </w:instrText>
          </w:r>
          <w:r>
            <w:fldChar w:fldCharType="separate"/>
          </w:r>
          <w:r>
            <w:rPr>
              <w:rFonts w:hint="eastAsia" w:ascii="微软雅黑" w:hAnsi="微软雅黑" w:eastAsia="微软雅黑" w:cs="微软雅黑"/>
              <w:bCs/>
              <w:sz w:val="28"/>
              <w:szCs w:val="28"/>
            </w:rPr>
            <w:t>8.主要问题和改进措施</w:t>
          </w:r>
          <w:r>
            <w:rPr>
              <w:sz w:val="28"/>
              <w:szCs w:val="28"/>
            </w:rPr>
            <w:tab/>
          </w:r>
          <w:r>
            <w:rPr>
              <w:sz w:val="28"/>
              <w:szCs w:val="28"/>
            </w:rPr>
            <w:fldChar w:fldCharType="begin"/>
          </w:r>
          <w:r>
            <w:rPr>
              <w:sz w:val="28"/>
              <w:szCs w:val="28"/>
            </w:rPr>
            <w:instrText xml:space="preserve"> PAGEREF _Toc12773 </w:instrText>
          </w:r>
          <w:r>
            <w:rPr>
              <w:sz w:val="28"/>
              <w:szCs w:val="28"/>
            </w:rPr>
            <w:fldChar w:fldCharType="separate"/>
          </w:r>
          <w:r>
            <w:rPr>
              <w:sz w:val="28"/>
              <w:szCs w:val="28"/>
            </w:rPr>
            <w:t>27</w:t>
          </w:r>
          <w:r>
            <w:rPr>
              <w:sz w:val="28"/>
              <w:szCs w:val="28"/>
            </w:rPr>
            <w:fldChar w:fldCharType="end"/>
          </w:r>
          <w:r>
            <w:rPr>
              <w:sz w:val="28"/>
              <w:szCs w:val="28"/>
            </w:rPr>
            <w:fldChar w:fldCharType="end"/>
          </w:r>
        </w:p>
        <w:p>
          <w:pPr>
            <w:tabs>
              <w:tab w:val="left" w:pos="312"/>
            </w:tabs>
            <w:spacing w:line="360" w:lineRule="auto"/>
            <w:jc w:val="left"/>
            <w:rPr>
              <w:rFonts w:ascii="宋体" w:hAnsi="宋体" w:eastAsia="宋体"/>
            </w:rPr>
            <w:sectPr>
              <w:head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rPr>
            <w:fldChar w:fldCharType="end"/>
          </w:r>
        </w:p>
      </w:sdtContent>
    </w:sdt>
    <w:p>
      <w:pPr>
        <w:spacing w:line="1080" w:lineRule="auto"/>
        <w:jc w:val="center"/>
        <w:outlineLvl w:val="0"/>
        <w:rPr>
          <w:rFonts w:ascii="微软雅黑" w:hAnsi="微软雅黑" w:eastAsia="微软雅黑" w:cs="微软雅黑"/>
          <w:sz w:val="44"/>
          <w:szCs w:val="52"/>
        </w:rPr>
      </w:pPr>
      <w:bookmarkStart w:id="0" w:name="_Toc24329"/>
      <w:bookmarkStart w:id="1" w:name="_Toc26345"/>
      <w:r>
        <w:rPr>
          <w:rFonts w:hint="eastAsia" w:ascii="微软雅黑" w:hAnsi="微软雅黑" w:eastAsia="微软雅黑" w:cs="微软雅黑"/>
          <w:sz w:val="44"/>
          <w:szCs w:val="52"/>
        </w:rPr>
        <w:t>商丘商贸学校2022年度教育质量年度报告</w:t>
      </w:r>
      <w:bookmarkEnd w:id="0"/>
      <w:bookmarkEnd w:id="1"/>
    </w:p>
    <w:p>
      <w:pPr>
        <w:spacing w:line="480" w:lineRule="auto"/>
        <w:ind w:firstLine="560" w:firstLineChars="200"/>
        <w:jc w:val="left"/>
        <w:rPr>
          <w:sz w:val="36"/>
          <w:szCs w:val="44"/>
        </w:rPr>
      </w:pPr>
      <w:r>
        <w:rPr>
          <w:rFonts w:hint="eastAsia" w:asciiTheme="minorEastAsia" w:hAnsiTheme="minorEastAsia" w:cstheme="minorEastAsia"/>
          <w:sz w:val="28"/>
          <w:szCs w:val="28"/>
        </w:rPr>
        <w:t>一年来，我校在睢阳区委、区政府及睢阳区教育体育局的正确领导及关心支持下，在校长杨万立的带领下,以二十大精神为政治方向，</w:t>
      </w:r>
      <w:bookmarkStart w:id="94" w:name="_GoBack"/>
      <w:bookmarkEnd w:id="94"/>
      <w:r>
        <w:rPr>
          <w:rFonts w:hint="eastAsia" w:asciiTheme="minorEastAsia" w:hAnsiTheme="minorEastAsia" w:cstheme="minorEastAsia"/>
          <w:sz w:val="28"/>
          <w:szCs w:val="28"/>
        </w:rPr>
        <w:t>以习近平新时代中国特色社会主义思想为指导，全面贯彻落实《国家职业教育改革实施方案》和全国职业教育大会精神，秉承“办有故事的学校，做有温度的教育”的办学理念，以立德树人为根本任务，以人才培养为中心，以学科专业建设为基础，以服务经济社会发展为导向，以改革创新为动力，克难攻坚、锐意进取，努力开创商丘商贸学校高质量跨越式发展的新局面。</w:t>
      </w:r>
    </w:p>
    <w:p>
      <w:pPr>
        <w:pStyle w:val="2"/>
        <w:ind w:left="420" w:leftChars="200"/>
        <w:rPr>
          <w:sz w:val="36"/>
          <w:szCs w:val="36"/>
        </w:rPr>
      </w:pPr>
      <w:bookmarkStart w:id="2" w:name="_Toc21574"/>
      <w:bookmarkStart w:id="3" w:name="_Toc24440"/>
      <w:r>
        <w:rPr>
          <w:rFonts w:hint="eastAsia"/>
          <w:sz w:val="36"/>
          <w:szCs w:val="36"/>
        </w:rPr>
        <w:t>1.学校情况</w:t>
      </w:r>
      <w:bookmarkEnd w:id="2"/>
      <w:bookmarkEnd w:id="3"/>
    </w:p>
    <w:p>
      <w:pPr>
        <w:pStyle w:val="3"/>
        <w:ind w:left="420" w:leftChars="200"/>
        <w:rPr>
          <w:rFonts w:asciiTheme="majorEastAsia" w:hAnsiTheme="majorEastAsia" w:eastAsiaTheme="majorEastAsia" w:cstheme="majorEastAsia"/>
        </w:rPr>
      </w:pPr>
      <w:bookmarkStart w:id="4" w:name="_Toc29778"/>
      <w:bookmarkStart w:id="5" w:name="_Toc10545"/>
      <w:r>
        <w:rPr>
          <w:rFonts w:hint="eastAsia" w:asciiTheme="majorEastAsia" w:hAnsiTheme="majorEastAsia" w:eastAsiaTheme="majorEastAsia" w:cstheme="majorEastAsia"/>
        </w:rPr>
        <w:t>1.1学校概况</w:t>
      </w:r>
      <w:bookmarkEnd w:id="4"/>
      <w:bookmarkEnd w:id="5"/>
    </w:p>
    <w:p>
      <w:pPr>
        <w:ind w:firstLine="560" w:firstLineChars="200"/>
        <w:rPr>
          <w:sz w:val="32"/>
          <w:szCs w:val="40"/>
        </w:rPr>
      </w:pPr>
      <w:r>
        <w:rPr>
          <w:rFonts w:hint="eastAsia" w:asciiTheme="minorEastAsia" w:hAnsiTheme="minorEastAsia" w:cstheme="minorEastAsia"/>
          <w:sz w:val="28"/>
          <w:szCs w:val="28"/>
        </w:rPr>
        <w:t>学校坐落在“中国历史文化名城”——商丘，始建于1983年，是一所全日制公办中等职业学校、省重点中职学校、省级特色示范性校、豫东职教名校。学校占地101亩，建筑面积59200平方米，基础设施完善，教学楼、男女宿舍楼、实训中心大楼、实习实训车间、计算机房、跆拳道馆、电钢琴房、舞蹈练功房、多媒体教室、多功能录播室等教学和生活配套设施齐全，教室、宿舍均安装有冷暖空调，无线网络及数字监控实现校园全覆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学校现有教职工194人，其中高级职称61人，“双师型”教师59人，省级优质课教师21人，本科学历182人，研究生学历6人。现有全日制在校生2710人，共56个教学班。办学规模在全市同类学校中居于领先水平。</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学校坚持“质量立校、技能立业、特色强校”的办学宗旨，开设有种植、养殖、建筑、机电、计算机、会计等二十多个专业，其中热门专业有建筑、机电、电子商务、计算机应用。特色专业有旅游服务与管理、民族音乐与舞蹈、汽车应用与维修、中医康养等。学生在校均可享受国家免学费的优惠政策，涉农专业及家庭贫困学生还可享受国家助学金和雨露计划资助。学生毕业后可以参加对口升学考入理想大学，也可以工学结合、订单培养，走稳定、体面、高薪的就业之路。</w:t>
      </w:r>
    </w:p>
    <w:p>
      <w:pPr>
        <w:ind w:firstLine="560" w:firstLineChars="200"/>
        <w:rPr>
          <w:rFonts w:asciiTheme="minorEastAsia" w:hAnsiTheme="minorEastAsia" w:cstheme="minorEastAsia"/>
          <w:sz w:val="28"/>
          <w:szCs w:val="28"/>
        </w:rPr>
      </w:pPr>
      <w:bookmarkStart w:id="6" w:name="_Toc8996"/>
      <w:bookmarkStart w:id="7" w:name="_Toc2614"/>
      <w:r>
        <w:rPr>
          <w:rFonts w:hint="eastAsia" w:asciiTheme="minorEastAsia" w:hAnsiTheme="minorEastAsia" w:cstheme="minorEastAsia"/>
          <w:sz w:val="28"/>
          <w:szCs w:val="28"/>
        </w:rPr>
        <w:t>1.2学校情况</w:t>
      </w:r>
      <w:bookmarkEnd w:id="6"/>
      <w:bookmarkEnd w:id="7"/>
    </w:p>
    <w:p>
      <w:pPr>
        <w:ind w:firstLine="560" w:firstLineChars="200"/>
        <w:rPr>
          <w:rFonts w:asciiTheme="minorEastAsia" w:hAnsiTheme="minorEastAsia" w:cstheme="minorEastAsia"/>
          <w:sz w:val="28"/>
          <w:szCs w:val="28"/>
        </w:rPr>
      </w:pPr>
      <w:bookmarkStart w:id="8" w:name="_Toc21439"/>
      <w:bookmarkStart w:id="9" w:name="_Toc3785"/>
      <w:r>
        <w:rPr>
          <w:rFonts w:hint="eastAsia" w:asciiTheme="minorEastAsia" w:hAnsiTheme="minorEastAsia" w:cstheme="minorEastAsia"/>
          <w:sz w:val="28"/>
          <w:szCs w:val="28"/>
        </w:rPr>
        <w:t>1.2.1 招生规模、在校生规模、毕业生规模</w:t>
      </w:r>
      <w:bookmarkEnd w:id="8"/>
      <w:bookmarkEnd w:id="9"/>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招生规模：2022年在招生压力比较大的情况下，招收新生 941人。</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在校生规模：今年在校生规模为2876人。</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毕业生规模：上一年度毕业生规模为935人，今年毕业生规模为1493人，与上一年度的毕业生规模相比增加了588人，增长率为39.38%。</w:t>
      </w:r>
    </w:p>
    <w:p>
      <w:pPr>
        <w:pStyle w:val="4"/>
        <w:ind w:left="420" w:leftChars="200"/>
        <w:rPr>
          <w:rFonts w:hint="default"/>
          <w:sz w:val="28"/>
          <w:szCs w:val="28"/>
        </w:rPr>
      </w:pPr>
    </w:p>
    <w:p>
      <w:pPr>
        <w:pStyle w:val="4"/>
        <w:ind w:left="420" w:leftChars="200"/>
        <w:rPr>
          <w:rFonts w:hint="default"/>
          <w:sz w:val="28"/>
          <w:szCs w:val="28"/>
        </w:rPr>
      </w:pPr>
    </w:p>
    <w:p>
      <w:pPr>
        <w:pStyle w:val="4"/>
        <w:ind w:left="420" w:leftChars="200"/>
        <w:rPr>
          <w:rFonts w:hint="default"/>
          <w:sz w:val="28"/>
          <w:szCs w:val="28"/>
        </w:rPr>
      </w:pPr>
      <w:bookmarkStart w:id="10" w:name="_Toc15145"/>
      <w:bookmarkStart w:id="11" w:name="_Toc30043"/>
      <w:r>
        <w:rPr>
          <w:sz w:val="28"/>
          <w:szCs w:val="28"/>
        </w:rPr>
        <w:t>1.2.2 学生结构</w:t>
      </w:r>
      <w:bookmarkEnd w:id="10"/>
      <w:bookmarkEnd w:id="11"/>
    </w:p>
    <w:tbl>
      <w:tblPr>
        <w:tblStyle w:val="13"/>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425"/>
        <w:gridCol w:w="1983"/>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83" w:type="dxa"/>
          </w:tcPr>
          <w:p>
            <w:pPr>
              <w:jc w:val="center"/>
            </w:pPr>
          </w:p>
        </w:tc>
        <w:tc>
          <w:tcPr>
            <w:tcW w:w="1425" w:type="dxa"/>
            <w:vAlign w:val="center"/>
          </w:tcPr>
          <w:p>
            <w:pPr>
              <w:jc w:val="center"/>
            </w:pPr>
          </w:p>
        </w:tc>
        <w:tc>
          <w:tcPr>
            <w:tcW w:w="1983" w:type="dxa"/>
            <w:vAlign w:val="center"/>
          </w:tcPr>
          <w:p>
            <w:pPr>
              <w:jc w:val="center"/>
            </w:pPr>
            <w:r>
              <w:rPr>
                <w:rFonts w:hint="eastAsia"/>
              </w:rPr>
              <w:t>合计</w:t>
            </w:r>
          </w:p>
        </w:tc>
        <w:tc>
          <w:tcPr>
            <w:tcW w:w="1705" w:type="dxa"/>
            <w:vAlign w:val="center"/>
          </w:tcPr>
          <w:p>
            <w:pPr>
              <w:jc w:val="center"/>
            </w:pPr>
            <w:r>
              <w:rPr>
                <w:rFonts w:hint="eastAsia"/>
              </w:rPr>
              <w:t>男生</w:t>
            </w:r>
          </w:p>
        </w:tc>
        <w:tc>
          <w:tcPr>
            <w:tcW w:w="1705" w:type="dxa"/>
            <w:vAlign w:val="center"/>
          </w:tcPr>
          <w:p>
            <w:pPr>
              <w:jc w:val="center"/>
            </w:pPr>
            <w:r>
              <w:rPr>
                <w:rFonts w:hint="eastAsia"/>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83" w:type="dxa"/>
            <w:vMerge w:val="restart"/>
            <w:vAlign w:val="center"/>
          </w:tcPr>
          <w:p>
            <w:pPr>
              <w:jc w:val="center"/>
            </w:pPr>
            <w:r>
              <w:rPr>
                <w:rFonts w:hint="eastAsia"/>
              </w:rPr>
              <w:t>在校生数</w:t>
            </w:r>
          </w:p>
        </w:tc>
        <w:tc>
          <w:tcPr>
            <w:tcW w:w="1425" w:type="dxa"/>
            <w:vAlign w:val="center"/>
          </w:tcPr>
          <w:p>
            <w:pPr>
              <w:jc w:val="center"/>
            </w:pPr>
            <w:r>
              <w:rPr>
                <w:rFonts w:hint="eastAsia"/>
              </w:rPr>
              <w:t>合计</w:t>
            </w:r>
          </w:p>
        </w:tc>
        <w:tc>
          <w:tcPr>
            <w:tcW w:w="1983" w:type="dxa"/>
            <w:vAlign w:val="center"/>
          </w:tcPr>
          <w:p>
            <w:pPr>
              <w:jc w:val="center"/>
              <w:rPr>
                <w:color w:val="FF0000"/>
              </w:rPr>
            </w:pPr>
            <w:r>
              <w:rPr>
                <w:rFonts w:hint="eastAsia"/>
                <w:color w:val="FF0000"/>
              </w:rPr>
              <w:t>2876</w:t>
            </w:r>
          </w:p>
        </w:tc>
        <w:tc>
          <w:tcPr>
            <w:tcW w:w="1705" w:type="dxa"/>
            <w:vAlign w:val="center"/>
          </w:tcPr>
          <w:p>
            <w:pPr>
              <w:jc w:val="center"/>
              <w:rPr>
                <w:color w:val="FF0000"/>
              </w:rPr>
            </w:pPr>
            <w:r>
              <w:rPr>
                <w:rFonts w:hint="eastAsia"/>
                <w:color w:val="FF0000"/>
              </w:rPr>
              <w:t>1969</w:t>
            </w:r>
          </w:p>
        </w:tc>
        <w:tc>
          <w:tcPr>
            <w:tcW w:w="1705" w:type="dxa"/>
            <w:vAlign w:val="center"/>
          </w:tcPr>
          <w:p>
            <w:pPr>
              <w:jc w:val="center"/>
              <w:rPr>
                <w:color w:val="FF0000"/>
              </w:rPr>
            </w:pPr>
            <w:r>
              <w:rPr>
                <w:rFonts w:hint="eastAsia"/>
                <w:color w:val="FF0000"/>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83" w:type="dxa"/>
            <w:vMerge w:val="continue"/>
          </w:tcPr>
          <w:p>
            <w:pPr>
              <w:jc w:val="center"/>
            </w:pPr>
          </w:p>
        </w:tc>
        <w:tc>
          <w:tcPr>
            <w:tcW w:w="1425" w:type="dxa"/>
            <w:vAlign w:val="center"/>
          </w:tcPr>
          <w:p>
            <w:pPr>
              <w:jc w:val="center"/>
            </w:pPr>
            <w:r>
              <w:rPr>
                <w:rFonts w:hint="eastAsia"/>
              </w:rPr>
              <w:t>一年级</w:t>
            </w:r>
          </w:p>
        </w:tc>
        <w:tc>
          <w:tcPr>
            <w:tcW w:w="1983" w:type="dxa"/>
            <w:vAlign w:val="center"/>
          </w:tcPr>
          <w:p>
            <w:pPr>
              <w:jc w:val="center"/>
              <w:rPr>
                <w:color w:val="FF0000"/>
              </w:rPr>
            </w:pPr>
            <w:r>
              <w:rPr>
                <w:rFonts w:hint="eastAsia"/>
                <w:color w:val="FF0000"/>
              </w:rPr>
              <w:t>941</w:t>
            </w:r>
          </w:p>
        </w:tc>
        <w:tc>
          <w:tcPr>
            <w:tcW w:w="1705" w:type="dxa"/>
            <w:vAlign w:val="center"/>
          </w:tcPr>
          <w:p>
            <w:pPr>
              <w:jc w:val="center"/>
              <w:rPr>
                <w:color w:val="FF0000"/>
              </w:rPr>
            </w:pPr>
            <w:r>
              <w:rPr>
                <w:rFonts w:hint="eastAsia"/>
                <w:color w:val="FF0000"/>
              </w:rPr>
              <w:t>625</w:t>
            </w:r>
          </w:p>
        </w:tc>
        <w:tc>
          <w:tcPr>
            <w:tcW w:w="1705" w:type="dxa"/>
            <w:vAlign w:val="center"/>
          </w:tcPr>
          <w:p>
            <w:pPr>
              <w:jc w:val="center"/>
              <w:rPr>
                <w:color w:val="FF0000"/>
              </w:rPr>
            </w:pPr>
            <w:r>
              <w:rPr>
                <w:rFonts w:hint="eastAsia"/>
                <w:color w:val="FF0000"/>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83" w:type="dxa"/>
            <w:vMerge w:val="continue"/>
          </w:tcPr>
          <w:p>
            <w:pPr>
              <w:jc w:val="center"/>
            </w:pPr>
          </w:p>
        </w:tc>
        <w:tc>
          <w:tcPr>
            <w:tcW w:w="1425" w:type="dxa"/>
            <w:vAlign w:val="center"/>
          </w:tcPr>
          <w:p>
            <w:pPr>
              <w:jc w:val="center"/>
            </w:pPr>
            <w:r>
              <w:rPr>
                <w:rFonts w:hint="eastAsia"/>
              </w:rPr>
              <w:t>二年级</w:t>
            </w:r>
          </w:p>
        </w:tc>
        <w:tc>
          <w:tcPr>
            <w:tcW w:w="1983" w:type="dxa"/>
            <w:vAlign w:val="center"/>
          </w:tcPr>
          <w:p>
            <w:pPr>
              <w:jc w:val="center"/>
              <w:rPr>
                <w:color w:val="FF0000"/>
              </w:rPr>
            </w:pPr>
            <w:r>
              <w:rPr>
                <w:rFonts w:hint="eastAsia"/>
                <w:color w:val="FF0000"/>
              </w:rPr>
              <w:t>933</w:t>
            </w:r>
          </w:p>
        </w:tc>
        <w:tc>
          <w:tcPr>
            <w:tcW w:w="1705" w:type="dxa"/>
            <w:vAlign w:val="center"/>
          </w:tcPr>
          <w:p>
            <w:pPr>
              <w:jc w:val="center"/>
              <w:rPr>
                <w:color w:val="FF0000"/>
              </w:rPr>
            </w:pPr>
            <w:r>
              <w:rPr>
                <w:rFonts w:hint="eastAsia"/>
                <w:color w:val="FF0000"/>
              </w:rPr>
              <w:t>648</w:t>
            </w:r>
          </w:p>
        </w:tc>
        <w:tc>
          <w:tcPr>
            <w:tcW w:w="1705" w:type="dxa"/>
            <w:vAlign w:val="center"/>
          </w:tcPr>
          <w:p>
            <w:pPr>
              <w:jc w:val="center"/>
              <w:rPr>
                <w:color w:val="FF0000"/>
              </w:rPr>
            </w:pPr>
            <w:r>
              <w:rPr>
                <w:rFonts w:hint="eastAsia"/>
                <w:color w:val="FF0000"/>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83" w:type="dxa"/>
            <w:vMerge w:val="continue"/>
          </w:tcPr>
          <w:p>
            <w:pPr>
              <w:jc w:val="center"/>
            </w:pPr>
          </w:p>
        </w:tc>
        <w:tc>
          <w:tcPr>
            <w:tcW w:w="1425" w:type="dxa"/>
            <w:vAlign w:val="center"/>
          </w:tcPr>
          <w:p>
            <w:pPr>
              <w:jc w:val="center"/>
            </w:pPr>
            <w:r>
              <w:rPr>
                <w:rFonts w:hint="eastAsia"/>
              </w:rPr>
              <w:t>三年级</w:t>
            </w:r>
          </w:p>
        </w:tc>
        <w:tc>
          <w:tcPr>
            <w:tcW w:w="1983" w:type="dxa"/>
            <w:vAlign w:val="center"/>
          </w:tcPr>
          <w:p>
            <w:pPr>
              <w:jc w:val="center"/>
              <w:rPr>
                <w:color w:val="FF0000"/>
              </w:rPr>
            </w:pPr>
            <w:r>
              <w:rPr>
                <w:rFonts w:hint="eastAsia"/>
                <w:color w:val="FF0000"/>
              </w:rPr>
              <w:t>1002</w:t>
            </w:r>
          </w:p>
        </w:tc>
        <w:tc>
          <w:tcPr>
            <w:tcW w:w="1705" w:type="dxa"/>
            <w:vAlign w:val="center"/>
          </w:tcPr>
          <w:p>
            <w:pPr>
              <w:jc w:val="center"/>
              <w:rPr>
                <w:color w:val="FF0000"/>
              </w:rPr>
            </w:pPr>
            <w:r>
              <w:rPr>
                <w:rFonts w:hint="eastAsia"/>
                <w:color w:val="FF0000"/>
              </w:rPr>
              <w:t>696</w:t>
            </w:r>
          </w:p>
        </w:tc>
        <w:tc>
          <w:tcPr>
            <w:tcW w:w="1705" w:type="dxa"/>
            <w:vAlign w:val="center"/>
          </w:tcPr>
          <w:p>
            <w:pPr>
              <w:jc w:val="center"/>
              <w:rPr>
                <w:color w:val="FF0000"/>
              </w:rPr>
            </w:pPr>
            <w:r>
              <w:rPr>
                <w:rFonts w:hint="eastAsia"/>
                <w:color w:val="FF0000"/>
              </w:rPr>
              <w:t>306</w:t>
            </w:r>
          </w:p>
        </w:tc>
      </w:tr>
    </w:tbl>
    <w:p>
      <w:pPr>
        <w:rPr>
          <w:rFonts w:ascii="Times New Roman" w:hAnsi="Times New Roman" w:eastAsia="宋体" w:cs="Times New Roman"/>
          <w:sz w:val="28"/>
        </w:rPr>
      </w:pPr>
      <w:r>
        <w:rPr>
          <w:rFonts w:hint="eastAsia" w:ascii="Times New Roman" w:hAnsi="Times New Roman" w:eastAsia="宋体" w:cs="Times New Roman"/>
          <w:sz w:val="28"/>
        </w:rPr>
        <w:drawing>
          <wp:inline distT="0" distB="0" distL="114300" distR="114300">
            <wp:extent cx="5375275" cy="2705735"/>
            <wp:effectExtent l="0" t="0" r="4445" b="6985"/>
            <wp:docPr id="3" name="图片 3" descr="cdc4a5a44fed331fb488159e3e01d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c4a5a44fed331fb488159e3e01d84"/>
                    <pic:cNvPicPr>
                      <a:picLocks noChangeAspect="1"/>
                    </pic:cNvPicPr>
                  </pic:nvPicPr>
                  <pic:blipFill>
                    <a:blip r:embed="rId7"/>
                    <a:stretch>
                      <a:fillRect/>
                    </a:stretch>
                  </pic:blipFill>
                  <pic:spPr>
                    <a:xfrm>
                      <a:off x="0" y="0"/>
                      <a:ext cx="5375275" cy="2705735"/>
                    </a:xfrm>
                    <a:prstGeom prst="rect">
                      <a:avLst/>
                    </a:prstGeom>
                  </pic:spPr>
                </pic:pic>
              </a:graphicData>
            </a:graphic>
          </wp:inline>
        </w:drawing>
      </w:r>
      <w:r>
        <w:rPr>
          <w:sz w:val="28"/>
        </w:rPr>
        <mc:AlternateContent>
          <mc:Choice Requires="wps">
            <w:drawing>
              <wp:anchor distT="0" distB="0" distL="114300" distR="114300" simplePos="0" relativeHeight="251664384" behindDoc="0" locked="0" layoutInCell="1" allowOverlap="1">
                <wp:simplePos x="0" y="0"/>
                <wp:positionH relativeFrom="column">
                  <wp:posOffset>1734185</wp:posOffset>
                </wp:positionH>
                <wp:positionV relativeFrom="paragraph">
                  <wp:posOffset>644525</wp:posOffset>
                </wp:positionV>
                <wp:extent cx="518795" cy="99695"/>
                <wp:effectExtent l="9525" t="9525" r="20320" b="12700"/>
                <wp:wrapNone/>
                <wp:docPr id="9" name="墨迹 9"/>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9" name="墨迹 9"/>
                            <w14:cNvContentPartPr/>
                          </w14:nvContentPartPr>
                          <w14:xfrm>
                            <a:off x="2884805" y="4043680"/>
                            <a:ext cx="518795" cy="99695"/>
                          </w14:xfrm>
                        </w14:contentPart>
                      </mc:Choice>
                    </mc:AlternateContent>
                  </a:graphicData>
                </a:graphic>
              </wp:anchor>
            </w:drawing>
          </mc:Choice>
          <mc:Fallback>
            <w:pict>
              <v:shape id="_x0000_s1026" o:spid="_x0000_s1026" o:spt="75" style="position:absolute;left:0pt;margin-left:136.55pt;margin-top:50.75pt;height:7.85pt;width:40.85pt;z-index:251664384;mso-width-relative:page;mso-height-relative:page;" coordsize="21600,21600" o:gfxdata="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">
                <v:imagedata r:id="rId9" o:title=""/>
                <o:lock v:ext="edit"/>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1734185</wp:posOffset>
                </wp:positionH>
                <wp:positionV relativeFrom="paragraph">
                  <wp:posOffset>621665</wp:posOffset>
                </wp:positionV>
                <wp:extent cx="533400" cy="121920"/>
                <wp:effectExtent l="9525" t="9525" r="5715" b="20955"/>
                <wp:wrapNone/>
                <wp:docPr id="11" name="墨迹 11"/>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11" name="墨迹 11"/>
                            <w14:cNvContentPartPr/>
                          </w14:nvContentPartPr>
                          <w14:xfrm>
                            <a:off x="2884805" y="4066540"/>
                            <a:ext cx="533400" cy="121920"/>
                          </w14:xfrm>
                        </w14:contentPart>
                      </mc:Choice>
                    </mc:AlternateContent>
                  </a:graphicData>
                </a:graphic>
              </wp:anchor>
            </w:drawing>
          </mc:Choice>
          <mc:Fallback>
            <w:pict>
              <v:shape id="_x0000_s1026" o:spid="_x0000_s1026" o:spt="75" style="position:absolute;left:0pt;margin-left:136.55pt;margin-top:48.95pt;height:9.6pt;width:42pt;z-index:251666432;mso-width-relative:page;mso-height-relative:page;" coordsize="21600,21600" o:gfxdata="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&#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">
                <v:imagedata r:id="rId11" o:title=""/>
                <o:lock v:ext="edit"/>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1772285</wp:posOffset>
                </wp:positionH>
                <wp:positionV relativeFrom="paragraph">
                  <wp:posOffset>675005</wp:posOffset>
                </wp:positionV>
                <wp:extent cx="23495" cy="38735"/>
                <wp:effectExtent l="9525" t="9525" r="12700" b="12700"/>
                <wp:wrapNone/>
                <wp:docPr id="13" name="墨迹 13"/>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13" name="墨迹 13"/>
                            <w14:cNvContentPartPr/>
                          </w14:nvContentPartPr>
                          <w14:xfrm>
                            <a:off x="2915285" y="4081780"/>
                            <a:ext cx="23495" cy="38735"/>
                          </w14:xfrm>
                        </w14:contentPart>
                      </mc:Choice>
                    </mc:AlternateContent>
                  </a:graphicData>
                </a:graphic>
              </wp:anchor>
            </w:drawing>
          </mc:Choice>
          <mc:Fallback>
            <w:pict>
              <v:shape id="_x0000_s1026" o:spid="_x0000_s1026" o:spt="75" style="position:absolute;left:0pt;margin-left:139.55pt;margin-top:53.15pt;height:3.05pt;width:1.85pt;z-index:251668480;mso-width-relative:page;mso-height-relative:page;" coordsize="21600,21600" o:gfxdata="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">
                <v:imagedata r:id="rId13" o:title=""/>
                <o:lock v:ext="edit"/>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2229485</wp:posOffset>
                </wp:positionH>
                <wp:positionV relativeFrom="paragraph">
                  <wp:posOffset>652145</wp:posOffset>
                </wp:positionV>
                <wp:extent cx="31115" cy="61595"/>
                <wp:effectExtent l="9525" t="9525" r="20320" b="20320"/>
                <wp:wrapNone/>
                <wp:docPr id="12" name="墨迹 12"/>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12" name="墨迹 12"/>
                            <w14:cNvContentPartPr/>
                          </w14:nvContentPartPr>
                          <w14:xfrm>
                            <a:off x="3372485" y="4058920"/>
                            <a:ext cx="31115" cy="61595"/>
                          </w14:xfrm>
                        </w14:contentPart>
                      </mc:Choice>
                    </mc:AlternateContent>
                  </a:graphicData>
                </a:graphic>
              </wp:anchor>
            </w:drawing>
          </mc:Choice>
          <mc:Fallback>
            <w:pict>
              <v:shape id="_x0000_s1026" o:spid="_x0000_s1026" o:spt="75" style="position:absolute;left:0pt;margin-left:175.55pt;margin-top:51.35pt;height:4.85pt;width:2.45pt;z-index:251667456;mso-width-relative:page;mso-height-relative:page;" coordsize="21600,21600" o:gfxdata="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">
                <v:imagedata r:id="rId15" o:title=""/>
                <o:lock v:ext="edit"/>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2221865</wp:posOffset>
                </wp:positionH>
                <wp:positionV relativeFrom="paragraph">
                  <wp:posOffset>667385</wp:posOffset>
                </wp:positionV>
                <wp:extent cx="15875" cy="69215"/>
                <wp:effectExtent l="9525" t="9525" r="20320" b="12700"/>
                <wp:wrapNone/>
                <wp:docPr id="10" name="墨迹 10"/>
                <wp:cNvGraphicFramePr/>
                <a:graphic xmlns:a="http://schemas.openxmlformats.org/drawingml/2006/main">
                  <a:graphicData uri="http://schemas.microsoft.com/office/word/2010/wordprocessingInk">
                    <mc:AlternateContent xmlns:a14="http://schemas.microsoft.com/office/drawing/2010/main">
                      <mc:Choice Requires="a14">
                        <w14:contentPart bwMode="clr" r:id="rId16">
                          <w14:nvContentPartPr>
                            <w14:cNvPr id="10" name="墨迹 10"/>
                            <w14:cNvContentPartPr/>
                          </w14:nvContentPartPr>
                          <w14:xfrm>
                            <a:off x="3364865" y="4074160"/>
                            <a:ext cx="15875" cy="69215"/>
                          </w14:xfrm>
                        </w14:contentPart>
                      </mc:Choice>
                    </mc:AlternateContent>
                  </a:graphicData>
                </a:graphic>
              </wp:anchor>
            </w:drawing>
          </mc:Choice>
          <mc:Fallback>
            <w:pict>
              <v:shape id="_x0000_s1026" o:spid="_x0000_s1026" o:spt="75" style="position:absolute;left:0pt;margin-left:174.95pt;margin-top:52.55pt;height:5.45pt;width:1.25pt;z-index:251665408;mso-width-relative:page;mso-height-relative:page;" coordsize="21600,21600" o:gfxdata="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">
                <v:imagedata r:id="rId17" o:title=""/>
                <o:lock v:ext="edit"/>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1718945</wp:posOffset>
                </wp:positionH>
                <wp:positionV relativeFrom="paragraph">
                  <wp:posOffset>682625</wp:posOffset>
                </wp:positionV>
                <wp:extent cx="15875" cy="38735"/>
                <wp:effectExtent l="9525" t="9525" r="20320" b="12700"/>
                <wp:wrapNone/>
                <wp:docPr id="8"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8" name="墨迹 8"/>
                            <w14:cNvContentPartPr/>
                          </w14:nvContentPartPr>
                          <w14:xfrm>
                            <a:off x="2861945" y="4089400"/>
                            <a:ext cx="15875" cy="38735"/>
                          </w14:xfrm>
                        </w14:contentPart>
                      </mc:Choice>
                    </mc:AlternateContent>
                  </a:graphicData>
                </a:graphic>
              </wp:anchor>
            </w:drawing>
          </mc:Choice>
          <mc:Fallback>
            <w:pict>
              <v:shape id="_x0000_s1026" o:spid="_x0000_s1026" o:spt="75" style="position:absolute;left:0pt;margin-left:135.35pt;margin-top:53.75pt;height:3.05pt;width:1.25pt;z-index:251663360;mso-width-relative:page;mso-height-relative:page;" coordsize="21600,21600" o:gfxdata="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">
                <v:imagedata r:id="rId19" o:title=""/>
                <o:lock v:ext="edit"/>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1734185</wp:posOffset>
                </wp:positionH>
                <wp:positionV relativeFrom="paragraph">
                  <wp:posOffset>682625</wp:posOffset>
                </wp:positionV>
                <wp:extent cx="38735" cy="38735"/>
                <wp:effectExtent l="9525" t="9525" r="12700" b="12700"/>
                <wp:wrapNone/>
                <wp:docPr id="6" name="墨迹 6"/>
                <wp:cNvGraphicFramePr/>
                <a:graphic xmlns:a="http://schemas.openxmlformats.org/drawingml/2006/main">
                  <a:graphicData uri="http://schemas.microsoft.com/office/word/2010/wordprocessingInk">
                    <mc:AlternateContent xmlns:a14="http://schemas.microsoft.com/office/drawing/2010/main">
                      <mc:Choice Requires="a14">
                        <w14:contentPart bwMode="clr" r:id="rId20">
                          <w14:nvContentPartPr>
                            <w14:cNvPr id="6" name="墨迹 6"/>
                            <w14:cNvContentPartPr/>
                          </w14:nvContentPartPr>
                          <w14:xfrm>
                            <a:off x="2877185" y="4089400"/>
                            <a:ext cx="38735" cy="38735"/>
                          </w14:xfrm>
                        </w14:contentPart>
                      </mc:Choice>
                    </mc:AlternateContent>
                  </a:graphicData>
                </a:graphic>
              </wp:anchor>
            </w:drawing>
          </mc:Choice>
          <mc:Fallback>
            <w:pict>
              <v:shape id="_x0000_s1026" o:spid="_x0000_s1026" o:spt="75" style="position:absolute;left:0pt;margin-left:136.55pt;margin-top:53.75pt;height:3.05pt;width:3.05pt;z-index:251662336;mso-width-relative:page;mso-height-relative:page;" coordsize="21600,21600" o:gfxdata="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">
                <v:imagedata r:id="rId21" o:title=""/>
                <o:lock v:ext="edit"/>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1718945</wp:posOffset>
                </wp:positionH>
                <wp:positionV relativeFrom="paragraph">
                  <wp:posOffset>652145</wp:posOffset>
                </wp:positionV>
                <wp:extent cx="46355" cy="53975"/>
                <wp:effectExtent l="9525" t="9525" r="20320" b="1270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22">
                          <w14:nvContentPartPr>
                            <w14:cNvPr id="5" name="墨迹 5"/>
                            <w14:cNvContentPartPr/>
                          </w14:nvContentPartPr>
                          <w14:xfrm>
                            <a:off x="2861945" y="4058920"/>
                            <a:ext cx="46355" cy="53975"/>
                          </w14:xfrm>
                        </w14:contentPart>
                      </mc:Choice>
                    </mc:AlternateContent>
                  </a:graphicData>
                </a:graphic>
              </wp:anchor>
            </w:drawing>
          </mc:Choice>
          <mc:Fallback>
            <w:pict>
              <v:shape id="_x0000_s1026" o:spid="_x0000_s1026" o:spt="75" style="position:absolute;left:0pt;margin-left:135.35pt;margin-top:51.35pt;height:4.25pt;width:3.65pt;z-index:251661312;mso-width-relative:page;mso-height-relative:page;" coordsize="21600,21600" o:gfxdata="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">
                <v:imagedata r:id="rId23" o:title=""/>
                <o:lock v:ext="edit"/>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1779905</wp:posOffset>
                </wp:positionH>
                <wp:positionV relativeFrom="paragraph">
                  <wp:posOffset>659765</wp:posOffset>
                </wp:positionV>
                <wp:extent cx="8255" cy="8255"/>
                <wp:effectExtent l="9525" t="9525" r="12700" b="12700"/>
                <wp:wrapNone/>
                <wp:docPr id="2"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24">
                          <w14:nvContentPartPr>
                            <w14:cNvPr id="2" name="墨迹 2"/>
                            <w14:cNvContentPartPr/>
                          </w14:nvContentPartPr>
                          <w14:xfrm>
                            <a:off x="2922905" y="4066540"/>
                            <a:ext cx="8255" cy="8255"/>
                          </w14:xfrm>
                        </w14:contentPart>
                      </mc:Choice>
                    </mc:AlternateContent>
                  </a:graphicData>
                </a:graphic>
              </wp:anchor>
            </w:drawing>
          </mc:Choice>
          <mc:Fallback>
            <w:pict>
              <v:shape id="_x0000_s1026" o:spid="_x0000_s1026" o:spt="75" style="position:absolute;left:0pt;margin-left:140.15pt;margin-top:51.95pt;height:0.65pt;width:0.65pt;z-index:251660288;mso-width-relative:page;mso-height-relative:page;" coordsize="21600,21600" o:gfxdata="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">
                <v:imagedata r:id="rId25" o:title=""/>
                <o:lock v:ext="edit"/>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1734185</wp:posOffset>
                </wp:positionH>
                <wp:positionV relativeFrom="paragraph">
                  <wp:posOffset>644525</wp:posOffset>
                </wp:positionV>
                <wp:extent cx="488315" cy="46355"/>
                <wp:effectExtent l="9525" t="9525" r="20320" b="2032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26">
                          <w14:nvContentPartPr>
                            <w14:cNvPr id="1" name="墨迹 1"/>
                            <w14:cNvContentPartPr/>
                          </w14:nvContentPartPr>
                          <w14:xfrm>
                            <a:off x="2877185" y="4051300"/>
                            <a:ext cx="488315" cy="46355"/>
                          </w14:xfrm>
                        </w14:contentPart>
                      </mc:Choice>
                    </mc:AlternateContent>
                  </a:graphicData>
                </a:graphic>
              </wp:anchor>
            </w:drawing>
          </mc:Choice>
          <mc:Fallback>
            <w:pict>
              <v:shape id="_x0000_s1026" o:spid="_x0000_s1026" o:spt="75" style="position:absolute;left:0pt;margin-left:136.55pt;margin-top:50.75pt;height:3.65pt;width:38.45pt;z-index:251659264;mso-width-relative:page;mso-height-relative:page;" coordsize="21600,21600" o:gfxdata="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">
                <v:imagedata r:id="rId27" o:title=""/>
                <o:lock v:ext="edit"/>
              </v:shape>
            </w:pict>
          </mc:Fallback>
        </mc:AlternateContent>
      </w:r>
    </w:p>
    <w:p/>
    <w:p>
      <w:pPr>
        <w:pStyle w:val="4"/>
        <w:ind w:left="420" w:leftChars="200"/>
        <w:rPr>
          <w:rFonts w:hint="default"/>
          <w:sz w:val="28"/>
          <w:szCs w:val="28"/>
        </w:rPr>
      </w:pPr>
      <w:bookmarkStart w:id="12" w:name="_Toc18408"/>
      <w:bookmarkStart w:id="13" w:name="_Toc25391"/>
      <w:r>
        <w:rPr>
          <w:sz w:val="28"/>
          <w:szCs w:val="28"/>
        </w:rPr>
        <w:t>1.2.3培训规模等数据</w:t>
      </w:r>
      <w:bookmarkEnd w:id="12"/>
      <w:bookmarkEnd w:id="13"/>
    </w:p>
    <w:p>
      <w:pPr>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今年我校培训中医康养专业学生102人次，建筑工程测量、机电设备安装与维修、会计、计算机应用、电子商务、平面设计专业学生技能培训1420余人次，对农村剩余劳动力进行种植、养殖等专业知识技能公益性培训1300余人次，与人武部合作开展的军前计算机技术、思想政治培训862人次。</w:t>
      </w:r>
    </w:p>
    <w:p>
      <w:pPr>
        <w:pStyle w:val="3"/>
        <w:ind w:left="420" w:leftChars="200"/>
        <w:rPr>
          <w:rFonts w:asciiTheme="majorEastAsia" w:hAnsiTheme="majorEastAsia" w:eastAsiaTheme="majorEastAsia" w:cstheme="majorEastAsia"/>
        </w:rPr>
      </w:pPr>
      <w:bookmarkStart w:id="14" w:name="_Toc3238"/>
      <w:bookmarkStart w:id="15" w:name="_Toc31177"/>
      <w:r>
        <w:rPr>
          <w:rFonts w:hint="eastAsia" w:asciiTheme="majorEastAsia" w:hAnsiTheme="majorEastAsia" w:eastAsiaTheme="majorEastAsia" w:cstheme="majorEastAsia"/>
        </w:rPr>
        <w:t>1.3教师队伍</w:t>
      </w:r>
      <w:bookmarkEnd w:id="14"/>
      <w:bookmarkEnd w:id="15"/>
    </w:p>
    <w:p>
      <w:pPr>
        <w:ind w:firstLine="560" w:firstLineChars="200"/>
        <w:jc w:val="left"/>
        <w:rPr>
          <w:rFonts w:ascii="Times New Roman" w:hAnsi="Times New Roman" w:eastAsia="宋体" w:cs="Times New Roman"/>
          <w:color w:val="FF0000"/>
          <w:sz w:val="28"/>
        </w:rPr>
      </w:pPr>
      <w:bookmarkStart w:id="16" w:name="_Toc1966"/>
      <w:bookmarkStart w:id="17" w:name="_Toc8618"/>
      <w:r>
        <w:rPr>
          <w:rFonts w:hint="eastAsia" w:ascii="Times New Roman" w:hAnsi="Times New Roman" w:eastAsia="宋体" w:cs="Times New Roman"/>
          <w:sz w:val="28"/>
        </w:rPr>
        <w:t>师生比：1：14.82；与上一年度相比增长率为-3.88%；</w:t>
      </w:r>
      <w:r>
        <w:rPr>
          <w:rFonts w:ascii="Times New Roman" w:hAnsi="Times New Roman" w:eastAsia="宋体" w:cs="Times New Roman"/>
          <w:sz w:val="28"/>
        </w:rPr>
        <w:t>”</w:t>
      </w:r>
      <w:r>
        <w:rPr>
          <w:rFonts w:hint="eastAsia" w:ascii="Times New Roman" w:hAnsi="Times New Roman" w:eastAsia="宋体" w:cs="Times New Roman"/>
          <w:sz w:val="28"/>
        </w:rPr>
        <w:t>双师型</w:t>
      </w:r>
      <w:r>
        <w:rPr>
          <w:rFonts w:ascii="Times New Roman" w:hAnsi="Times New Roman" w:eastAsia="宋体" w:cs="Times New Roman"/>
          <w:sz w:val="28"/>
        </w:rPr>
        <w:t>”</w:t>
      </w:r>
      <w:r>
        <w:rPr>
          <w:rFonts w:hint="eastAsia" w:ascii="Times New Roman" w:hAnsi="Times New Roman" w:eastAsia="宋体" w:cs="Times New Roman"/>
          <w:sz w:val="28"/>
        </w:rPr>
        <w:t>教师占比为：30.41%，较去年增长率为-1.8 %；专任教师本科以上学历为：96.8%，较去年上升1.18%；专任教师硕士以上学历为：3.2%，较去年减少1.6%；专任教师高级职称占比为：31.38%，较去年降低1.32%；</w:t>
      </w:r>
    </w:p>
    <w:p>
      <w:pPr>
        <w:pStyle w:val="3"/>
        <w:ind w:left="420" w:leftChars="200"/>
        <w:rPr>
          <w:rFonts w:asciiTheme="majorEastAsia" w:hAnsiTheme="majorEastAsia" w:eastAsiaTheme="majorEastAsia" w:cstheme="majorEastAsia"/>
        </w:rPr>
      </w:pPr>
      <w:r>
        <w:rPr>
          <w:rFonts w:hint="eastAsia" w:asciiTheme="majorEastAsia" w:hAnsiTheme="majorEastAsia" w:eastAsiaTheme="majorEastAsia" w:cstheme="majorEastAsia"/>
        </w:rPr>
        <w:t>1.4设施设备 </w:t>
      </w:r>
      <w:bookmarkEnd w:id="16"/>
      <w:bookmarkEnd w:id="17"/>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学校配备56间多媒体教室、安装标准化考场设备。计算机实训室6个、汽修实训车间1个、种植养殖实训基地1个、美容美发实训室2个、图书阅览1个、舞蹈室2个、电钢琴室1个、声乐教室1个、康养实训基地1个、心理咨询室1个、多功能会议室一个。教学仪器设备总资产1112万元，生均教学教学设备值约3243.87元。生均纸质图书约5.35册。</w:t>
      </w:r>
    </w:p>
    <w:p>
      <w:pPr>
        <w:pStyle w:val="2"/>
        <w:ind w:left="420" w:leftChars="200"/>
        <w:rPr>
          <w:rFonts w:ascii="微软雅黑" w:hAnsi="微软雅黑" w:eastAsia="微软雅黑" w:cs="微软雅黑"/>
          <w:b w:val="0"/>
          <w:bCs/>
          <w:sz w:val="36"/>
          <w:szCs w:val="36"/>
        </w:rPr>
      </w:pPr>
      <w:bookmarkStart w:id="18" w:name="_Toc21264"/>
      <w:bookmarkStart w:id="19" w:name="_Toc3156"/>
      <w:r>
        <w:rPr>
          <w:rFonts w:hint="eastAsia" w:ascii="微软雅黑" w:hAnsi="微软雅黑" w:eastAsia="微软雅黑" w:cs="微软雅黑"/>
          <w:b w:val="0"/>
          <w:bCs/>
          <w:sz w:val="36"/>
          <w:szCs w:val="36"/>
        </w:rPr>
        <w:t>2.学生发展</w:t>
      </w:r>
      <w:bookmarkEnd w:id="18"/>
      <w:bookmarkEnd w:id="19"/>
    </w:p>
    <w:p>
      <w:pPr>
        <w:pStyle w:val="3"/>
        <w:ind w:left="420" w:leftChars="200"/>
        <w:rPr>
          <w:rFonts w:asciiTheme="majorEastAsia" w:hAnsiTheme="majorEastAsia" w:eastAsiaTheme="majorEastAsia" w:cstheme="majorEastAsia"/>
        </w:rPr>
      </w:pPr>
      <w:bookmarkStart w:id="20" w:name="_Toc5348"/>
      <w:bookmarkStart w:id="21" w:name="_Toc4903"/>
      <w:r>
        <w:rPr>
          <w:rFonts w:hint="eastAsia" w:asciiTheme="majorEastAsia" w:hAnsiTheme="majorEastAsia" w:eastAsiaTheme="majorEastAsia" w:cstheme="majorEastAsia"/>
        </w:rPr>
        <w:t>2.1学生素质</w:t>
      </w:r>
      <w:bookmarkEnd w:id="20"/>
      <w:bookmarkEnd w:id="21"/>
    </w:p>
    <w:p>
      <w:pPr>
        <w:ind w:firstLine="560" w:firstLineChars="200"/>
        <w:jc w:val="left"/>
        <w:rPr>
          <w:rFonts w:ascii="Times New Roman" w:hAnsi="Times New Roman" w:eastAsia="宋体" w:cs="Times New Roman"/>
          <w:color w:val="FF0000"/>
          <w:sz w:val="28"/>
        </w:rPr>
      </w:pPr>
      <w:r>
        <w:rPr>
          <w:rFonts w:hint="eastAsia" w:ascii="Times New Roman" w:hAnsi="Times New Roman" w:eastAsia="宋体" w:cs="Times New Roman"/>
          <w:sz w:val="28"/>
        </w:rPr>
        <w:t>学校按照教育部门规定开设思想政治课，学生思想政治合格，树立了正确的人生观、价值观、世界观，文化课合格率 97.1%，专业技能合格率97.6%，体质测评合格率 98.6%，毕业率达97%。</w:t>
      </w:r>
      <w:bookmarkStart w:id="22" w:name="_Toc508696340"/>
    </w:p>
    <w:p>
      <w:pPr>
        <w:pStyle w:val="3"/>
        <w:ind w:left="420" w:leftChars="200"/>
        <w:rPr>
          <w:rFonts w:asciiTheme="majorEastAsia" w:hAnsiTheme="majorEastAsia" w:eastAsiaTheme="majorEastAsia" w:cstheme="majorEastAsia"/>
        </w:rPr>
      </w:pPr>
      <w:bookmarkStart w:id="23" w:name="_Toc4216"/>
      <w:bookmarkStart w:id="24" w:name="_Toc10206"/>
      <w:r>
        <w:rPr>
          <w:rFonts w:hint="eastAsia" w:asciiTheme="majorEastAsia" w:hAnsiTheme="majorEastAsia" w:eastAsiaTheme="majorEastAsia" w:cstheme="majorEastAsia"/>
        </w:rPr>
        <w:t>2.2在校体验</w:t>
      </w:r>
      <w:bookmarkEnd w:id="22"/>
      <w:bookmarkEnd w:id="23"/>
      <w:bookmarkEnd w:id="24"/>
    </w:p>
    <w:p>
      <w:pPr>
        <w:ind w:firstLine="560" w:firstLineChars="200"/>
        <w:jc w:val="left"/>
        <w:rPr>
          <w:rFonts w:ascii="Times New Roman" w:hAnsi="Times New Roman" w:eastAsia="宋体" w:cs="Times New Roman"/>
          <w:sz w:val="28"/>
        </w:rPr>
      </w:pPr>
      <w:r>
        <w:rPr>
          <w:rFonts w:ascii="Times New Roman" w:hAnsi="Times New Roman" w:eastAsia="宋体" w:cs="Times New Roman"/>
          <w:sz w:val="28"/>
        </w:rPr>
        <w:t>20</w:t>
      </w:r>
      <w:r>
        <w:rPr>
          <w:rFonts w:hint="eastAsia" w:ascii="Times New Roman" w:hAnsi="Times New Roman" w:eastAsia="宋体" w:cs="Times New Roman"/>
          <w:sz w:val="28"/>
        </w:rPr>
        <w:t>22</w:t>
      </w:r>
      <w:r>
        <w:rPr>
          <w:rFonts w:ascii="Times New Roman" w:hAnsi="Times New Roman" w:eastAsia="宋体" w:cs="Times New Roman"/>
          <w:sz w:val="28"/>
        </w:rPr>
        <w:t>年</w:t>
      </w:r>
      <w:r>
        <w:rPr>
          <w:rFonts w:hint="eastAsia" w:ascii="Times New Roman" w:hAnsi="Times New Roman" w:eastAsia="宋体" w:cs="Times New Roman"/>
          <w:sz w:val="28"/>
        </w:rPr>
        <w:t>度</w:t>
      </w:r>
      <w:r>
        <w:rPr>
          <w:rFonts w:ascii="Times New Roman" w:hAnsi="Times New Roman" w:eastAsia="宋体" w:cs="Times New Roman"/>
          <w:sz w:val="28"/>
        </w:rPr>
        <w:t>对学生本年度在校体验满意度进行了调查，</w:t>
      </w:r>
      <w:r>
        <w:rPr>
          <w:rFonts w:hint="eastAsia" w:ascii="Times New Roman" w:hAnsi="Times New Roman" w:eastAsia="宋体" w:cs="Times New Roman"/>
          <w:sz w:val="28"/>
        </w:rPr>
        <w:t>学生理论</w:t>
      </w:r>
    </w:p>
    <w:p>
      <w:pPr>
        <w:jc w:val="left"/>
        <w:rPr>
          <w:rFonts w:ascii="Times New Roman" w:hAnsi="Times New Roman" w:eastAsia="宋体" w:cs="Times New Roman"/>
          <w:color w:val="FF0000"/>
          <w:sz w:val="28"/>
        </w:rPr>
      </w:pPr>
      <w:r>
        <w:rPr>
          <w:rFonts w:hint="eastAsia" w:ascii="Times New Roman" w:hAnsi="Times New Roman" w:eastAsia="宋体" w:cs="Times New Roman"/>
          <w:sz w:val="28"/>
        </w:rPr>
        <w:t>学习满意度 98.2%、专业学习满意度98.5%、实习实训满意度 97.6%。</w:t>
      </w:r>
    </w:p>
    <w:p>
      <w:pPr>
        <w:pStyle w:val="3"/>
        <w:ind w:left="420" w:leftChars="200"/>
        <w:rPr>
          <w:rFonts w:asciiTheme="majorEastAsia" w:hAnsiTheme="majorEastAsia" w:eastAsiaTheme="majorEastAsia" w:cstheme="majorEastAsia"/>
        </w:rPr>
      </w:pPr>
      <w:bookmarkStart w:id="25" w:name="_Toc20770"/>
      <w:bookmarkStart w:id="26" w:name="_Toc30638"/>
      <w:r>
        <w:rPr>
          <w:rFonts w:hint="eastAsia" w:asciiTheme="majorEastAsia" w:hAnsiTheme="majorEastAsia" w:eastAsiaTheme="majorEastAsia" w:cstheme="majorEastAsia"/>
        </w:rPr>
        <w:t>2.3资助情况</w:t>
      </w:r>
      <w:bookmarkEnd w:id="25"/>
      <w:bookmarkEnd w:id="26"/>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中等职业学校家庭经济困难学生资助政策体系，我校全日制正式在籍在校学生全部免除学费，免学费标准按照河南省省人民政府及其价格主管部门批准的公办学校学费标准确定，家庭经济困难学生比例按一、二年级在校生（扣除涉农专业学生和连片特困地区农村学生）的15%确定。在资助的评审过程中，本着公开、公平、公正的原则，资助范围、资助对象、资助标准符合政策要求，对评审结果进行公示。每学期的免学费资金能及时拨付到位，助学金资金能及时足额发放到学生的银行卡中，特别是建档立卡学生，为做到对象精准，目标精准，措施精准，学校派专职人员对学生家庭情况进行了解，抓紧抓实抓好精准扶贫工作，针对特困学生，学校自筹资金进行帮扶。</w:t>
      </w:r>
    </w:p>
    <w:p>
      <w:pPr>
        <w:pStyle w:val="3"/>
        <w:ind w:left="420" w:leftChars="200"/>
        <w:rPr>
          <w:rFonts w:asciiTheme="majorEastAsia" w:hAnsiTheme="majorEastAsia" w:eastAsiaTheme="majorEastAsia" w:cstheme="majorEastAsia"/>
        </w:rPr>
      </w:pPr>
      <w:bookmarkStart w:id="27" w:name="_Toc23394"/>
      <w:bookmarkStart w:id="28" w:name="_Toc30610"/>
      <w:r>
        <w:rPr>
          <w:rFonts w:hint="eastAsia" w:asciiTheme="majorEastAsia" w:hAnsiTheme="majorEastAsia" w:eastAsiaTheme="majorEastAsia" w:cstheme="majorEastAsia"/>
        </w:rPr>
        <w:t>2.4就业质量</w:t>
      </w:r>
      <w:bookmarkEnd w:id="27"/>
      <w:bookmarkEnd w:id="28"/>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kern w:val="0"/>
          <w:sz w:val="28"/>
          <w:szCs w:val="28"/>
        </w:rPr>
        <w:t>商丘商贸学校</w:t>
      </w:r>
      <w:r>
        <w:rPr>
          <w:rFonts w:hint="eastAsia" w:asciiTheme="minorEastAsia" w:hAnsiTheme="minorEastAsia" w:cstheme="minorEastAsia"/>
          <w:sz w:val="28"/>
          <w:szCs w:val="28"/>
        </w:rPr>
        <w:t>2022年毕业生数1493人，就业人数为1493人，就业率为100%；其中直接就业人数328人，对口就业率为100%，直接就业人数占毕业生人数的百分比为21.97%，升入高一级学校（对口升学）1165人，对口升学率100%。起薪情况，直接就业学生中，平均起薪2500元/月，其中2300-3200 元/月307人，3200 元/月以上21人。</w:t>
      </w:r>
    </w:p>
    <w:p>
      <w:pPr>
        <w:jc w:val="left"/>
        <w:rPr>
          <w:rFonts w:asciiTheme="minorEastAsia" w:hAnsiTheme="minorEastAsia" w:cstheme="minorEastAsia"/>
          <w:color w:val="000000"/>
          <w:kern w:val="0"/>
          <w:sz w:val="28"/>
          <w:szCs w:val="28"/>
        </w:rPr>
      </w:pPr>
    </w:p>
    <w:p>
      <w:pPr>
        <w:pStyle w:val="3"/>
        <w:ind w:left="420" w:leftChars="200"/>
        <w:rPr>
          <w:rFonts w:asciiTheme="majorEastAsia" w:hAnsiTheme="majorEastAsia" w:eastAsiaTheme="majorEastAsia" w:cstheme="majorEastAsia"/>
        </w:rPr>
      </w:pPr>
      <w:bookmarkStart w:id="29" w:name="_Toc7776"/>
      <w:bookmarkStart w:id="30" w:name="_Toc25759"/>
      <w:r>
        <w:rPr>
          <w:rFonts w:hint="eastAsia" w:asciiTheme="majorEastAsia" w:hAnsiTheme="majorEastAsia" w:eastAsiaTheme="majorEastAsia" w:cstheme="majorEastAsia"/>
        </w:rPr>
        <w:t>2.5职业发展</w:t>
      </w:r>
      <w:bookmarkEnd w:id="29"/>
      <w:bookmarkEnd w:id="30"/>
      <w:r>
        <w:rPr>
          <w:rFonts w:hint="eastAsia" w:asciiTheme="majorEastAsia" w:hAnsiTheme="majorEastAsia" w:eastAsiaTheme="majorEastAsia" w:cstheme="majorEastAsia"/>
        </w:rPr>
        <w:t xml:space="preserve">  </w:t>
      </w:r>
    </w:p>
    <w:p>
      <w:pPr>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我校通过对口升学、联合办学、订单式培养，参加就业推介会、人才交流会、考察工业园区新建企业等方式不断拓展毕业生就业渠道。毕业生就业后，能较快适应企业的工作，根据工作实际需要学习相关技能，具有专业上的延伸拓展能力，有较明确的个人职业生涯规划。</w:t>
      </w:r>
    </w:p>
    <w:p>
      <w:pPr>
        <w:pStyle w:val="2"/>
        <w:ind w:left="420" w:leftChars="200"/>
        <w:rPr>
          <w:rFonts w:ascii="微软雅黑" w:hAnsi="微软雅黑" w:eastAsia="微软雅黑" w:cs="微软雅黑"/>
          <w:b w:val="0"/>
          <w:bCs/>
          <w:sz w:val="36"/>
          <w:szCs w:val="36"/>
        </w:rPr>
      </w:pPr>
      <w:bookmarkStart w:id="31" w:name="_Toc6458"/>
      <w:bookmarkStart w:id="32" w:name="_Toc27357"/>
      <w:r>
        <w:rPr>
          <w:rFonts w:hint="eastAsia" w:ascii="微软雅黑" w:hAnsi="微软雅黑" w:eastAsia="微软雅黑" w:cs="微软雅黑"/>
          <w:b w:val="0"/>
          <w:bCs/>
          <w:sz w:val="36"/>
          <w:szCs w:val="36"/>
        </w:rPr>
        <w:t>3.质量保障措施</w:t>
      </w:r>
      <w:bookmarkEnd w:id="31"/>
      <w:bookmarkEnd w:id="32"/>
    </w:p>
    <w:p>
      <w:pPr>
        <w:pStyle w:val="3"/>
        <w:ind w:left="420" w:leftChars="200"/>
        <w:rPr>
          <w:rFonts w:asciiTheme="majorEastAsia" w:hAnsiTheme="majorEastAsia" w:eastAsiaTheme="majorEastAsia" w:cstheme="majorEastAsia"/>
        </w:rPr>
      </w:pPr>
      <w:bookmarkStart w:id="33" w:name="_Toc25711"/>
      <w:bookmarkStart w:id="34" w:name="_Toc29387"/>
      <w:r>
        <w:rPr>
          <w:rFonts w:hint="eastAsia" w:asciiTheme="majorEastAsia" w:hAnsiTheme="majorEastAsia" w:eastAsiaTheme="majorEastAsia" w:cstheme="majorEastAsia"/>
        </w:rPr>
        <w:t>3.1专业动态调整</w:t>
      </w:r>
      <w:bookmarkEnd w:id="33"/>
      <w:bookmarkEnd w:id="34"/>
    </w:p>
    <w:p>
      <w:pPr>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我</w:t>
      </w:r>
      <w:r>
        <w:rPr>
          <w:rFonts w:ascii="Times New Roman" w:hAnsi="Times New Roman" w:eastAsia="宋体" w:cs="Times New Roman"/>
          <w:sz w:val="28"/>
        </w:rPr>
        <w:t>校始终将服务区域经济发展，为区域发展建设培养高素质技术技能型人才作为己任，重视专业与行业企业的对接</w:t>
      </w:r>
      <w:r>
        <w:rPr>
          <w:rFonts w:hint="eastAsia" w:ascii="Times New Roman" w:hAnsi="Times New Roman" w:eastAsia="宋体" w:cs="Times New Roman"/>
          <w:sz w:val="28"/>
        </w:rPr>
        <w:t>，采用长短结合、灵活多样的办学模式，适时调整专业设置，不断完善人才培养方案。我校学历教育与职业培训并重、学制长短相结合，灵活多样的办学。我们以职业实践为主线，修订了各专业人才培养方案。三年制的对口升学班、理论与实习相结合的就业班等，构建起了“升学有保障、就业有优势、创业有能力”的办学平台。我校与美丽空间、东明汽保、上海盤天佰草等单位合作共同美发、汽修、中医康养等特色专业。我校以订单培养、定向培训等方式推动企业与学校深度合作，不仅扩宽了办学空间，也为学生拓展了就业门路。优质的就业保障，预定好的就业岗位，使学生有了落脚点、吃了定心丸、消除了后顾之忧。同时“招生即招工、入校即入厂、校企联合培养”的学习就业模式，也使学生看到了更加广阔的择业前景，增强了入校学习的动力。</w:t>
      </w:r>
    </w:p>
    <w:p>
      <w:pPr>
        <w:pStyle w:val="3"/>
        <w:ind w:left="420" w:leftChars="200"/>
        <w:rPr>
          <w:rFonts w:asciiTheme="majorEastAsia" w:hAnsiTheme="majorEastAsia" w:eastAsiaTheme="majorEastAsia" w:cstheme="majorEastAsia"/>
        </w:rPr>
      </w:pPr>
      <w:bookmarkStart w:id="35" w:name="_Toc32744"/>
      <w:bookmarkStart w:id="36" w:name="_Toc15431"/>
      <w:r>
        <w:rPr>
          <w:rFonts w:hint="eastAsia" w:asciiTheme="majorEastAsia" w:hAnsiTheme="majorEastAsia" w:eastAsiaTheme="majorEastAsia" w:cstheme="majorEastAsia"/>
        </w:rPr>
        <w:t>3.2教育教学改革</w:t>
      </w:r>
      <w:bookmarkEnd w:id="35"/>
      <w:bookmarkEnd w:id="36"/>
    </w:p>
    <w:p>
      <w:pPr>
        <w:spacing w:line="360" w:lineRule="auto"/>
        <w:ind w:firstLine="560" w:firstLineChars="200"/>
        <w:jc w:val="left"/>
        <w:rPr>
          <w:rFonts w:ascii="Times New Roman" w:hAnsi="Times New Roman" w:eastAsia="宋体" w:cs="Times New Roman"/>
          <w:sz w:val="28"/>
        </w:rPr>
      </w:pPr>
      <w:r>
        <w:rPr>
          <w:rFonts w:hint="eastAsia" w:ascii="Times New Roman" w:hAnsi="Times New Roman" w:eastAsia="宋体" w:cs="Times New Roman"/>
          <w:sz w:val="28"/>
        </w:rPr>
        <w:t>公共基础课本着“必须、够用”的原则，从学生发展和社会需求出发，以人才规格要求确定课程并以就业为导向制定课程实施方案，优化课程结构，改变了传统单一的讲授法，提倡教师使用启发式、讨论式、辩论式、对话式等授课形式，有效地培养学生的思维能力和分析解决问题的能力，调动学习的积极性和创造性，培养学生的创新意识。我校在办学过程中，持续推进产教融合，不断加强专业内涵建设。除了现有种植、养殖、机电、财经、电子商务、平面设计、计算机应用等传统专业，还开设了旅游、音乐、汽车运用与维修、美发形象设计、中医康养等专业。学校按国家规划人才培养方案要求，教材使用高等教育出版，十三五、十四五规划教材和校企合作精品教材。</w:t>
      </w:r>
    </w:p>
    <w:p>
      <w:pPr>
        <w:spacing w:line="360" w:lineRule="auto"/>
        <w:ind w:firstLine="560" w:firstLineChars="200"/>
        <w:jc w:val="left"/>
        <w:rPr>
          <w:rFonts w:ascii="Times New Roman" w:hAnsi="Times New Roman" w:eastAsia="宋体" w:cs="Times New Roman"/>
          <w:color w:val="FF0000"/>
          <w:sz w:val="28"/>
        </w:rPr>
      </w:pPr>
      <w:r>
        <w:rPr>
          <w:rFonts w:hint="eastAsia" w:ascii="Times New Roman" w:hAnsi="Times New Roman" w:eastAsia="宋体" w:cs="Times New Roman"/>
          <w:sz w:val="28"/>
        </w:rPr>
        <w:t>着力提高教育教学质量。一是加强教师队伍建设。鼓励教师参加国家、省、市级培训，支持教师到企业考察学习，提升其专业能力，服务教学；二是抓实抓细常规教学工作。注重细节管理和过程管理，实施学校领导及教研组长随机听课制度，实地调研，掌握了教学动态，推动了教学改革；三是强化专业技能教学。形成技能大赛制度，以赛带学、以赛促教，以赛精艺。学校各专业积极开展多种技能竞赛活动，师生参加省、市级技能大赛捷报频传。体现“</w:t>
      </w:r>
      <w:r>
        <w:rPr>
          <w:rFonts w:ascii="Times New Roman" w:hAnsi="Times New Roman" w:eastAsia="宋体" w:cs="Times New Roman"/>
          <w:sz w:val="28"/>
        </w:rPr>
        <w:t>人人有才，人无全才，拥有一技之长就是人才</w:t>
      </w:r>
      <w:r>
        <w:rPr>
          <w:rFonts w:hint="eastAsia" w:ascii="Times New Roman" w:hAnsi="Times New Roman" w:eastAsia="宋体" w:cs="Times New Roman"/>
          <w:sz w:val="28"/>
        </w:rPr>
        <w:t>”的理念</w:t>
      </w:r>
      <w:r>
        <w:rPr>
          <w:rFonts w:ascii="Times New Roman" w:hAnsi="Times New Roman" w:eastAsia="宋体" w:cs="Times New Roman"/>
          <w:sz w:val="28"/>
        </w:rPr>
        <w:t>。</w:t>
      </w:r>
      <w:r>
        <w:rPr>
          <w:rFonts w:hint="eastAsia" w:ascii="Times New Roman" w:hAnsi="Times New Roman" w:eastAsia="宋体" w:cs="Times New Roman"/>
          <w:sz w:val="28"/>
        </w:rPr>
        <w:t>四是严格学生管理。通过安全综合教育活动、劳动教育活动、疫情防控知识、现代礼仪、心理课教学活动，对学生进行疫情防控、行为习惯和健康心理培养。五是重视信息化教学，加强实训基地建设。学校建设了完善的校内局域网和外部网络，各教室均配置了多媒体教学设备，全体教师能够熟练地运用现代教育手段开展教育教学活动。学校一方面加强校内实习室建设，建立了养殖、种植、电子商务、平面设计专业实训基地，与企业合作建立了美发和汽修等专业的实训基地。学校不断投入资金，加强实训基地建设。为学生实习实训提供了重要场所。六是技能竞赛、升学就业成绩突出。学校通过亲切而严格的学生教育和管理以及高质量的人才输出，在学生、家长和社会中赢得了良好的口碑，有了很好的社会声誉。 面向社会公开招聘专业青年教师，在企业聘请具有丰富实践经验和较强动手能力的多名专业技术人员来计算机、美发、电商、汽修等专业任教。安排教师外出交流学习、培训进修、听专家讲座、双师型教师培养培训、教师到企业实践等多种形式，提高教师的教科研水平和实践能力。</w:t>
      </w:r>
    </w:p>
    <w:p>
      <w:pPr>
        <w:pStyle w:val="3"/>
        <w:ind w:left="420" w:leftChars="200"/>
        <w:rPr>
          <w:rFonts w:asciiTheme="majorEastAsia" w:hAnsiTheme="majorEastAsia" w:eastAsiaTheme="majorEastAsia" w:cstheme="majorEastAsia"/>
        </w:rPr>
      </w:pPr>
      <w:bookmarkStart w:id="37" w:name="_Toc27334"/>
      <w:bookmarkStart w:id="38" w:name="_Toc25235"/>
      <w:r>
        <w:rPr>
          <w:rFonts w:hint="eastAsia" w:asciiTheme="majorEastAsia" w:hAnsiTheme="majorEastAsia" w:eastAsiaTheme="majorEastAsia" w:cstheme="majorEastAsia"/>
        </w:rPr>
        <w:t>3.3教师培养培训</w:t>
      </w:r>
      <w:bookmarkEnd w:id="37"/>
      <w:bookmarkEnd w:id="38"/>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2022年张广法、汤晓宇、孙言卿、陈红丽、付艳华参加1+X证书线上培训；杨正力教师参加双师型教师培训；孟凡文、冯庆、郭珊、李广立、陈杰、王永飞等参加省级骨干教师培训11人；2022年优质课：省级优质课一等奖1名；市级优质课一等奖2名；市级优质课三等奖2名；市优秀班主任李红兵、任艺格、朱威、李冬梅、王永飞、杨占魁6人。市师德标兵王莉、李晓丽、刘存娟、胡国玲、刘建超5人；</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在商丘市教体局、人社局联合举办的职业技能大赛、文明风采比赛中，该校技能大赛辅导教师取得了市级一等奖7人、二等奖12人、3等奖15人的优异成绩。</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河南省职业技能大赛和文明风采大赛因疫情原因推迟进行。</w:t>
      </w:r>
    </w:p>
    <w:p>
      <w:pPr>
        <w:spacing w:line="360" w:lineRule="auto"/>
        <w:ind w:firstLine="560" w:firstLineChars="200"/>
        <w:rPr>
          <w:rFonts w:ascii="Times New Roman" w:hAnsi="Times New Roman" w:eastAsia="宋体" w:cs="Times New Roman"/>
          <w:sz w:val="28"/>
        </w:rPr>
      </w:pPr>
    </w:p>
    <w:p>
      <w:pPr>
        <w:pStyle w:val="3"/>
        <w:ind w:left="420" w:leftChars="200"/>
        <w:rPr>
          <w:rFonts w:asciiTheme="majorEastAsia" w:hAnsiTheme="majorEastAsia" w:eastAsiaTheme="majorEastAsia" w:cstheme="majorEastAsia"/>
        </w:rPr>
      </w:pPr>
      <w:bookmarkStart w:id="39" w:name="_Toc22075"/>
      <w:bookmarkStart w:id="40" w:name="_Toc29216"/>
      <w:r>
        <w:rPr>
          <w:rFonts w:hint="eastAsia" w:asciiTheme="majorEastAsia" w:hAnsiTheme="majorEastAsia" w:eastAsiaTheme="majorEastAsia" w:cstheme="majorEastAsia"/>
        </w:rPr>
        <w:t>3.4规范管理情况</w:t>
      </w:r>
      <w:bookmarkEnd w:id="39"/>
      <w:bookmarkEnd w:id="40"/>
    </w:p>
    <w:p>
      <w:pPr>
        <w:pStyle w:val="4"/>
        <w:ind w:left="420" w:leftChars="200"/>
        <w:rPr>
          <w:rFonts w:hint="default"/>
          <w:sz w:val="28"/>
          <w:szCs w:val="28"/>
        </w:rPr>
      </w:pPr>
      <w:bookmarkStart w:id="41" w:name="_Toc497123556"/>
      <w:bookmarkStart w:id="42" w:name="_Toc17598"/>
      <w:bookmarkStart w:id="43" w:name="_Toc15162"/>
      <w:r>
        <w:rPr>
          <w:sz w:val="28"/>
          <w:szCs w:val="28"/>
        </w:rPr>
        <w:t>3.4.1</w:t>
      </w:r>
      <w:bookmarkEnd w:id="41"/>
      <w:r>
        <w:rPr>
          <w:sz w:val="28"/>
          <w:szCs w:val="28"/>
        </w:rPr>
        <w:t>教学管理规范运行</w:t>
      </w:r>
      <w:bookmarkEnd w:id="42"/>
      <w:bookmarkEnd w:id="43"/>
    </w:p>
    <w:p>
      <w:pPr>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一是不断探索和完善教学管理体系，学校设立教务处，专门管理教学工作。</w:t>
      </w:r>
    </w:p>
    <w:p>
      <w:pPr>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二是教学管理制度规范、完备，实施计划管理。除不定期检查外，教务处在期中和期末均组织专业人员对教学计划的执行情况进行系统的督查，确保了教学工作有计划、有执行、有检查、有总结。</w:t>
      </w:r>
    </w:p>
    <w:p>
      <w:pPr>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三是按照中等职业教育的人才培养目标和不同课程的岗位要求，按照规范程序编制了课程标准。</w:t>
      </w:r>
    </w:p>
    <w:p>
      <w:pPr>
        <w:ind w:firstLine="560" w:firstLineChars="200"/>
        <w:jc w:val="left"/>
        <w:rPr>
          <w:sz w:val="52"/>
          <w:szCs w:val="72"/>
        </w:rPr>
      </w:pPr>
      <w:r>
        <w:rPr>
          <w:rFonts w:hint="eastAsia" w:asciiTheme="minorEastAsia" w:hAnsiTheme="minorEastAsia" w:cstheme="minorEastAsia"/>
          <w:kern w:val="0"/>
          <w:sz w:val="28"/>
          <w:szCs w:val="28"/>
          <w:lang w:bidi="ar"/>
        </w:rPr>
        <w:t>四是教学课程的开设做到了开足开齐，教材选用规范，德育课、文化课均采用教育部、河南省教育厅规定教材，专业课程均选用教育厅推荐目录中教材。</w:t>
      </w:r>
    </w:p>
    <w:p>
      <w:pPr>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五是积极推进课程改革，大力开发校本教材，并重视资源开发与利用。</w:t>
      </w:r>
    </w:p>
    <w:p>
      <w:pPr>
        <w:pStyle w:val="4"/>
        <w:ind w:left="420" w:leftChars="200"/>
        <w:rPr>
          <w:rFonts w:hint="default"/>
          <w:sz w:val="28"/>
          <w:szCs w:val="28"/>
        </w:rPr>
      </w:pPr>
      <w:bookmarkStart w:id="44" w:name="_Toc28495"/>
      <w:bookmarkStart w:id="45" w:name="_Toc21383"/>
      <w:r>
        <w:rPr>
          <w:sz w:val="28"/>
          <w:szCs w:val="28"/>
        </w:rPr>
        <w:t>3.4.2学生管理创新开展</w:t>
      </w:r>
      <w:bookmarkEnd w:id="44"/>
      <w:bookmarkEnd w:id="45"/>
    </w:p>
    <w:p>
      <w:pPr>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一是加强德育队伍建设。学校进一步加强德育队伍建设，健全班主任岗位职责、工作条例、班主任工作量化考评激励机制，完善了每周主题班会制度。</w:t>
      </w:r>
    </w:p>
    <w:p>
      <w:pPr>
        <w:ind w:firstLine="560" w:firstLineChars="20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二是家校共建。每个班级建立家长QQ群、微信群，加强班主任和家长的联系，起到共同管理学生，促进学生的健康成长。</w:t>
      </w:r>
    </w:p>
    <w:p>
      <w:pPr>
        <w:ind w:firstLine="560" w:firstLineChars="200"/>
        <w:jc w:val="left"/>
        <w:rPr>
          <w:rFonts w:asciiTheme="minorEastAsia" w:hAnsiTheme="minorEastAsia" w:cstheme="minorEastAsia"/>
          <w:color w:val="FF0000"/>
          <w:kern w:val="0"/>
          <w:sz w:val="28"/>
          <w:szCs w:val="28"/>
          <w:lang w:bidi="ar"/>
        </w:rPr>
      </w:pPr>
      <w:r>
        <w:rPr>
          <w:rFonts w:hint="eastAsia" w:asciiTheme="minorEastAsia" w:hAnsiTheme="minorEastAsia" w:cstheme="minorEastAsia"/>
          <w:kern w:val="0"/>
          <w:sz w:val="28"/>
          <w:szCs w:val="28"/>
          <w:lang w:bidi="ar"/>
        </w:rPr>
        <w:t>三是开展专项教育活动。通过开展“校园文明宿舍”、“优秀班级”评选活动，“禁控烟”教育活动，“反对校园欺凌”“安全教育”专题教育活动等等，提升了学生的法纪意识和自我管理能力。</w:t>
      </w:r>
    </w:p>
    <w:p>
      <w:pPr>
        <w:pStyle w:val="4"/>
        <w:ind w:left="420" w:leftChars="200"/>
        <w:rPr>
          <w:rFonts w:hint="default"/>
          <w:sz w:val="28"/>
          <w:szCs w:val="28"/>
        </w:rPr>
      </w:pPr>
      <w:bookmarkStart w:id="46" w:name="_Toc24375"/>
      <w:bookmarkStart w:id="47" w:name="_Toc13067"/>
      <w:r>
        <w:rPr>
          <w:sz w:val="28"/>
          <w:szCs w:val="28"/>
        </w:rPr>
        <w:t>3.4.3后勤服务规范有序</w:t>
      </w:r>
      <w:bookmarkEnd w:id="46"/>
      <w:bookmarkEnd w:id="47"/>
    </w:p>
    <w:p>
      <w:pPr>
        <w:ind w:firstLine="560" w:firstLineChars="200"/>
        <w:jc w:val="left"/>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一是后勤管理规范，根据岗位，制定详细的岗位职责，严格执行“一岗双责制”。</w:t>
      </w:r>
    </w:p>
    <w:p>
      <w:pPr>
        <w:ind w:firstLine="560" w:firstLineChars="200"/>
        <w:jc w:val="left"/>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二是后勤服务有保障。配备专业的维修师傅，及时维修教室宿舍水电设施、办公桌椅等各类公用设施；根据需要及时采买，保障供应各类办公用品及教学实验物资；同时，按上级要求及时完成各类材料报送与数据上报。</w:t>
      </w:r>
    </w:p>
    <w:p>
      <w:pPr>
        <w:ind w:firstLine="560" w:firstLineChars="200"/>
        <w:jc w:val="left"/>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三是防疫物资准备齐全充足，学校教寝室保洁消毒到位，学校花草树木、小湖及湖岸、路面等环境卫生保持整洁。</w:t>
      </w:r>
    </w:p>
    <w:p>
      <w:pPr>
        <w:pStyle w:val="4"/>
        <w:ind w:left="420" w:leftChars="200"/>
        <w:rPr>
          <w:rFonts w:hint="default"/>
          <w:sz w:val="28"/>
          <w:szCs w:val="28"/>
        </w:rPr>
      </w:pPr>
      <w:bookmarkStart w:id="48" w:name="_Toc23931"/>
      <w:bookmarkStart w:id="49" w:name="_Toc32526"/>
      <w:r>
        <w:rPr>
          <w:sz w:val="28"/>
          <w:szCs w:val="28"/>
        </w:rPr>
        <w:t>3.4.4强化安全教育</w:t>
      </w:r>
      <w:bookmarkEnd w:id="48"/>
      <w:bookmarkEnd w:id="49"/>
    </w:p>
    <w:p>
      <w:pPr>
        <w:ind w:firstLine="560" w:firstLineChars="200"/>
        <w:jc w:val="left"/>
        <w:rPr>
          <w:sz w:val="52"/>
          <w:szCs w:val="72"/>
        </w:rPr>
      </w:pPr>
      <w:r>
        <w:rPr>
          <w:rFonts w:hint="eastAsia" w:asciiTheme="minorEastAsia" w:hAnsiTheme="minorEastAsia" w:cstheme="minorEastAsia"/>
          <w:color w:val="000000"/>
          <w:kern w:val="0"/>
          <w:sz w:val="28"/>
          <w:szCs w:val="28"/>
          <w:lang w:bidi="ar"/>
        </w:rPr>
        <w:t>在资金困难的情况下，为了学生安全，招标更换了电梯；小湖畔</w:t>
      </w:r>
    </w:p>
    <w:p>
      <w:pPr>
        <w:jc w:val="left"/>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增加安全设施；学生宿舍更换了风扇，窗户安装纱窗；厕所、楼道灭蝇灭蚊；增加防冲撞设施，实行刷卡进校园，不准带有金属制品进入校园，学校监控无死角，坚决杜绝学生跳墙外出事件的发生。</w:t>
      </w:r>
    </w:p>
    <w:p>
      <w:pPr>
        <w:ind w:firstLine="560" w:firstLineChars="200"/>
        <w:jc w:val="left"/>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学校坚持“常防不懈”的安全稳定工作原则，政教处和安全办先后组织开展了消防安全、火灾逃生演练、全国中小学生安全教育日、防溺水、安全生产月、食品安全宣传周、“校园十排十查”等专题教育活动。学校进一步强化依法治校和综合治理工作意识，先后组织开展了法治教育宣传、国家安全、抵制校园欺凌、禁毒图片展、观看禁毒影片等专题教育活动，师生违法犯罪率为零。</w:t>
      </w:r>
    </w:p>
    <w:p>
      <w:pPr>
        <w:pStyle w:val="4"/>
        <w:ind w:left="420" w:leftChars="200"/>
        <w:rPr>
          <w:rFonts w:hint="default"/>
          <w:sz w:val="28"/>
          <w:szCs w:val="28"/>
        </w:rPr>
      </w:pPr>
      <w:bookmarkStart w:id="50" w:name="_Toc32117"/>
      <w:bookmarkStart w:id="51" w:name="_Toc21699"/>
      <w:r>
        <w:rPr>
          <w:sz w:val="28"/>
          <w:szCs w:val="28"/>
        </w:rPr>
        <w:t>3.4.5科研管理成效显著</w:t>
      </w:r>
      <w:bookmarkEnd w:id="50"/>
      <w:bookmarkEnd w:id="51"/>
    </w:p>
    <w:p>
      <w:pPr>
        <w:ind w:firstLine="560" w:firstLineChars="200"/>
        <w:jc w:val="left"/>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学校重视教科研活动，教研科研相互促进。学校以教务处为单位组织开展教科研活动，教研组集体备课、集中开展教学研讨，支持和帮助教师参加各级优质课、课件、教案、论文评比及课题研究活动，促进了教师教学水平和教研能力的提高。</w:t>
      </w:r>
    </w:p>
    <w:p>
      <w:pPr>
        <w:pStyle w:val="3"/>
        <w:ind w:left="420" w:leftChars="200"/>
        <w:rPr>
          <w:rFonts w:asciiTheme="majorEastAsia" w:hAnsiTheme="majorEastAsia" w:eastAsiaTheme="majorEastAsia" w:cstheme="majorEastAsia"/>
        </w:rPr>
      </w:pPr>
      <w:bookmarkStart w:id="52" w:name="_Toc31265"/>
      <w:bookmarkStart w:id="53" w:name="_Toc32539"/>
      <w:r>
        <w:rPr>
          <w:rFonts w:hint="eastAsia" w:asciiTheme="majorEastAsia" w:hAnsiTheme="majorEastAsia" w:eastAsiaTheme="majorEastAsia" w:cstheme="majorEastAsia"/>
        </w:rPr>
        <w:t>3.5德育工作情况</w:t>
      </w:r>
      <w:bookmarkEnd w:id="52"/>
      <w:bookmarkEnd w:id="53"/>
    </w:p>
    <w:p>
      <w:pPr>
        <w:pStyle w:val="4"/>
        <w:ind w:left="420" w:leftChars="200"/>
        <w:rPr>
          <w:rFonts w:hint="default"/>
          <w:sz w:val="28"/>
          <w:szCs w:val="28"/>
        </w:rPr>
      </w:pPr>
      <w:bookmarkStart w:id="54" w:name="_Toc1025"/>
      <w:bookmarkStart w:id="55" w:name="_Toc22298"/>
      <w:r>
        <w:rPr>
          <w:sz w:val="28"/>
          <w:szCs w:val="28"/>
        </w:rPr>
        <w:t>3.5.1德育课实施情况</w:t>
      </w:r>
      <w:bookmarkEnd w:id="54"/>
      <w:bookmarkEnd w:id="55"/>
    </w:p>
    <w:p>
      <w:pPr>
        <w:ind w:firstLine="560" w:firstLineChars="200"/>
        <w:jc w:val="left"/>
        <w:rPr>
          <w:sz w:val="52"/>
          <w:szCs w:val="72"/>
        </w:rPr>
      </w:pPr>
      <w:r>
        <w:rPr>
          <w:rFonts w:hint="eastAsia" w:ascii="Times New Roman" w:hAnsi="Times New Roman" w:eastAsia="宋体" w:cs="Times New Roman"/>
          <w:sz w:val="28"/>
        </w:rPr>
        <w:t>学校成立以校长为组长、科室主任为副组长，班主任为成员的德育工作小组，最大限度调动学校、家庭、社会的合力来实现育人目的。开设有就业与创业、职业道德与法律、心理健康、职业生涯规划、现</w:t>
      </w:r>
    </w:p>
    <w:p>
      <w:pPr>
        <w:jc w:val="left"/>
        <w:rPr>
          <w:rFonts w:ascii="Times New Roman" w:hAnsi="Times New Roman" w:eastAsia="宋体" w:cs="Times New Roman"/>
          <w:sz w:val="28"/>
        </w:rPr>
      </w:pPr>
      <w:r>
        <w:rPr>
          <w:rFonts w:hint="eastAsia" w:ascii="Times New Roman" w:hAnsi="Times New Roman" w:eastAsia="宋体" w:cs="Times New Roman"/>
          <w:sz w:val="28"/>
        </w:rPr>
        <w:t xml:space="preserve">代礼仪、哲学与人生、政治经济与社会、劳动教育等德育课程。围绕思想道德素质、身心素质、人文素质、职业素质培养，以丰富多彩的文化活动为主导，以音乐、书画、诗歌社团组织为载体，以学生成长成才为目的，举办文明书画大赛、爱国歌曲比赛，营造了浓郁的校园文化氛围。学校先后组织开展文明风采、优秀传统文化大赛、技能大赛，素质能力大赛各类活动。坚持把“文明风采”竞赛与学生自我教育、 共青团主题活动、精神文明建设、和谐校园建设有机结合。 </w:t>
      </w:r>
    </w:p>
    <w:p>
      <w:pPr>
        <w:ind w:firstLine="560" w:firstLineChars="200"/>
        <w:jc w:val="left"/>
        <w:rPr>
          <w:rFonts w:ascii="Times New Roman" w:hAnsi="Times New Roman" w:eastAsia="宋体" w:cs="Times New Roman"/>
          <w:sz w:val="28"/>
        </w:rPr>
      </w:pPr>
      <w:r>
        <w:rPr>
          <w:rFonts w:hint="eastAsia" w:ascii="Times New Roman" w:hAnsi="Times New Roman" w:eastAsia="宋体" w:cs="Times New Roman"/>
          <w:sz w:val="28"/>
        </w:rPr>
        <w:t>经过一系列的努力，我校未成年思想道德建设工作初见成效，安全、卫生、思想、心理、身体健康等方面都趋向稳定，班级更加稳定，工作更加顺畅，在家庭、社会和学校之间创造了一个和谐的氛围。在此项工作中，我校将不断总结经验，借鉴其他学校先进理念，为进一步推动我校职高生思想道德建设而努力。</w:t>
      </w:r>
    </w:p>
    <w:p>
      <w:pPr>
        <w:pStyle w:val="4"/>
        <w:ind w:left="420" w:leftChars="200"/>
        <w:rPr>
          <w:rFonts w:hint="default"/>
          <w:sz w:val="28"/>
          <w:szCs w:val="28"/>
        </w:rPr>
      </w:pPr>
      <w:bookmarkStart w:id="56" w:name="_Toc29494"/>
      <w:bookmarkStart w:id="57" w:name="_Toc28706"/>
      <w:r>
        <w:rPr>
          <w:sz w:val="28"/>
          <w:szCs w:val="28"/>
        </w:rPr>
        <w:t>3.5.2校园文化建设</w:t>
      </w:r>
      <w:bookmarkEnd w:id="56"/>
      <w:bookmarkEnd w:id="57"/>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优秀的校园文化是学校的灵魂，对师生起着导向、凝聚、激励和约束的作用，有利于师生树立大局意识、责任意识和创新意识。商丘商贸学校把“做有温度的教育，办有故事的学校”作为学校文化建设的核心追求，努力营造高品位的学校文化氛围。加强校园文化阵地建设，办好校园广播、宣传栏等，不断充实校园文化内容，构建和谐、向上的校园文化。践行“做有温度的教育，办有故事的学校”的核心理念，</w:t>
      </w:r>
      <w:r>
        <w:rPr>
          <w:rFonts w:hint="eastAsia" w:asciiTheme="minorEastAsia" w:hAnsiTheme="minorEastAsia" w:cstheme="minorEastAsia"/>
          <w:color w:val="222222"/>
          <w:kern w:val="0"/>
          <w:sz w:val="28"/>
          <w:szCs w:val="28"/>
          <w:lang w:bidi="ar"/>
        </w:rPr>
        <w:t>我们赋予了“做有温度的老师”的深刻内涵：德能双馨的大气、激情蓬勃的朝气、廉洁自律的正气、爱满校园的和气。</w:t>
      </w:r>
      <w:r>
        <w:rPr>
          <w:rFonts w:hint="eastAsia" w:asciiTheme="minorEastAsia" w:hAnsiTheme="minorEastAsia" w:cstheme="minorEastAsia"/>
          <w:sz w:val="28"/>
          <w:szCs w:val="28"/>
        </w:rPr>
        <w:t>带领学生走进红色教育基地、走进古城、走进博物馆等人文历史遗迹，传承红色基因，培养学生斗争精神和奉献精神。坚持“以生为本”，积极开展社团活动、丰富校园文化生活。</w:t>
      </w:r>
    </w:p>
    <w:p>
      <w:pPr>
        <w:spacing w:line="360" w:lineRule="auto"/>
        <w:ind w:firstLine="560" w:firstLineChars="200"/>
        <w:rPr>
          <w:sz w:val="28"/>
          <w:szCs w:val="28"/>
        </w:rPr>
      </w:pPr>
      <w:r>
        <w:rPr>
          <w:rFonts w:hint="eastAsia" w:asciiTheme="minorEastAsia" w:hAnsiTheme="minorEastAsia" w:cstheme="minorEastAsia"/>
          <w:sz w:val="28"/>
          <w:szCs w:val="28"/>
        </w:rPr>
        <w:t>校园文化建设工程的成功实施，为教师专业成长和学生生涯发展插上了有力的翅膀；一年来，我校荣获“睢阳区文明校园”、“睢阳区三八红旗集体”“商丘市职业教育优秀单位”、“商丘市职业教育优秀中心教研组组长单位”“商丘市职业教育教研优秀单位”“商丘市科普教育基地”、“河南省职业教育先进单位”、“河南省成人教育先进单位”成为“河南省计算机职业教育集体”理事单位等荣誉称号</w:t>
      </w:r>
      <w:r>
        <w:rPr>
          <w:rFonts w:hint="eastAsia"/>
          <w:sz w:val="28"/>
          <w:szCs w:val="28"/>
        </w:rPr>
        <w:t>。</w:t>
      </w:r>
    </w:p>
    <w:p>
      <w:pPr>
        <w:pStyle w:val="4"/>
        <w:ind w:left="420" w:leftChars="200"/>
        <w:rPr>
          <w:rFonts w:hint="default"/>
          <w:sz w:val="28"/>
          <w:szCs w:val="28"/>
        </w:rPr>
      </w:pPr>
      <w:bookmarkStart w:id="58" w:name="_Toc26475"/>
      <w:bookmarkStart w:id="59" w:name="_Toc16836"/>
      <w:r>
        <w:rPr>
          <w:sz w:val="28"/>
          <w:szCs w:val="28"/>
        </w:rPr>
        <w:t>3.5.3文明风采活动开展情况</w:t>
      </w:r>
      <w:bookmarkEnd w:id="58"/>
      <w:bookmarkEnd w:id="59"/>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学校不断加强校园基础文明建设，积极开展积极开展内容丰富、形式多样、贴近学生的文明风采主题教育活动：把“树文明观念，建文明校园，做文明青年，创文明班级”的活动落到了实处。</w:t>
      </w:r>
    </w:p>
    <w:p>
      <w:pPr>
        <w:spacing w:line="360" w:lineRule="auto"/>
        <w:ind w:left="420" w:leftChars="200"/>
        <w:rPr>
          <w:rFonts w:ascii="Times New Roman" w:hAnsi="Times New Roman" w:eastAsia="宋体" w:cs="Times New Roman"/>
          <w:sz w:val="28"/>
        </w:rPr>
      </w:pPr>
      <w:r>
        <w:rPr>
          <w:rFonts w:hint="eastAsia" w:ascii="Times New Roman" w:hAnsi="Times New Roman" w:eastAsia="宋体" w:cs="Times New Roman"/>
          <w:sz w:val="28"/>
        </w:rPr>
        <w:t>一是积极组织各班文明风采大赛初赛工作。</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为迎接第十六届明风采大赛，我校制定了详实的明风采竞赛活动方案，并提出全员参与，全体提升的具体目标，成立了商贸学校文明风采竞赛组委会。 文明风采竞赛组委会进行人员分工，明确各人员职责，确定项目进度，制定奖惩制度。鼓励同学们踊跃参与到明风采竞赛中，同学们深受鼓舞。</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学校举办了演讲朗诵比赛、成语接龙比赛、模拟法庭、爱国主义歌曲、两笔字比赛等活动。这些活动不仅提升了学生的自信，陶冶学生的情操，真正起到了德育润物细无声的效果。而且老师、学生都热情高涨，积极投入到明风采大赛的各项准备工作之中。班主任老师说：这样做，德育工作就落到实处了，有抓手了。很多学生都说：我们有了目标，制定了步骤，每天都有事情做了。</w:t>
      </w:r>
    </w:p>
    <w:p>
      <w:pPr>
        <w:spacing w:line="360" w:lineRule="auto"/>
        <w:ind w:left="420" w:leftChars="200"/>
        <w:jc w:val="left"/>
        <w:rPr>
          <w:rFonts w:ascii="Times New Roman" w:hAnsi="Times New Roman" w:eastAsia="宋体" w:cs="Times New Roman"/>
          <w:sz w:val="28"/>
        </w:rPr>
      </w:pPr>
      <w:r>
        <w:rPr>
          <w:rFonts w:hint="eastAsia" w:ascii="Times New Roman" w:hAnsi="Times New Roman" w:eastAsia="宋体" w:cs="Times New Roman"/>
          <w:sz w:val="28"/>
        </w:rPr>
        <w:t>二是评选优秀作品，形成参赛作品。</w:t>
      </w:r>
    </w:p>
    <w:p>
      <w:pPr>
        <w:spacing w:line="360" w:lineRule="auto"/>
        <w:ind w:firstLine="560" w:firstLineChars="200"/>
        <w:jc w:val="left"/>
        <w:rPr>
          <w:sz w:val="52"/>
          <w:szCs w:val="72"/>
        </w:rPr>
      </w:pPr>
      <w:r>
        <w:rPr>
          <w:rFonts w:hint="eastAsia" w:ascii="Times New Roman" w:hAnsi="Times New Roman" w:eastAsia="宋体" w:cs="Times New Roman"/>
          <w:sz w:val="28"/>
        </w:rPr>
        <w:t>项目组成员评选出优秀作品，并选定业务水平高、责任心强的专业老师利用业余时间进行指导。指导教师按照学校明风采竞赛组委会的要求，指导学生对作品进行了多次修改。指导学生构思，引导学生观察社会现实，学生设计好的作品又辅导他们修改，完成制作后的一系列工作。学生们都深有感触地说：我们刚做出的作品并不怎么强，经老师点播，自己查找资料，修改出的作品真提高不少。</w:t>
      </w:r>
    </w:p>
    <w:p>
      <w:pPr>
        <w:spacing w:line="360" w:lineRule="auto"/>
        <w:ind w:left="420" w:leftChars="200"/>
        <w:jc w:val="left"/>
        <w:rPr>
          <w:rFonts w:ascii="Times New Roman" w:hAnsi="Times New Roman" w:eastAsia="宋体" w:cs="Times New Roman"/>
          <w:sz w:val="28"/>
        </w:rPr>
      </w:pPr>
      <w:r>
        <w:rPr>
          <w:rFonts w:hint="eastAsia" w:ascii="Times New Roman" w:hAnsi="Times New Roman" w:eastAsia="宋体" w:cs="Times New Roman"/>
          <w:sz w:val="28"/>
        </w:rPr>
        <w:t>三是文明风采竞赛活动成效显著。</w:t>
      </w:r>
    </w:p>
    <w:p>
      <w:pPr>
        <w:spacing w:line="360" w:lineRule="auto"/>
        <w:ind w:firstLine="560" w:firstLineChars="200"/>
        <w:jc w:val="left"/>
        <w:rPr>
          <w:rFonts w:ascii="Times New Roman" w:hAnsi="Times New Roman" w:eastAsia="宋体" w:cs="Times New Roman"/>
          <w:sz w:val="28"/>
        </w:rPr>
      </w:pPr>
      <w:r>
        <w:rPr>
          <w:rFonts w:hint="eastAsia" w:ascii="Times New Roman" w:hAnsi="Times New Roman" w:eastAsia="宋体" w:cs="Times New Roman"/>
          <w:sz w:val="28"/>
        </w:rPr>
        <w:t>文明风采大赛活动增强了学生专业学习的兴趣，使学生逐步树立成功者的心态，激发了学生提高自身综合素质的动力，学生的道德思想水平明显提升。对 真正学会有了深刻认识，懂得爱和感恩，并立志要成为职场能手，从而培育了良好的校风，有效促进了校园化的提升。 明风采大赛活动使同学们对党和国家的关怀有了更深刻的感受。认识到诚信是我们民族传统化的结晶，要继承和发扬，认识到职业生涯规划对人生的重要，认识到党和国家对职业教育的重视，从而立志成才，学会感恩，回报社会。</w:t>
      </w:r>
    </w:p>
    <w:p>
      <w:pPr>
        <w:spacing w:line="360" w:lineRule="auto"/>
        <w:ind w:firstLine="560" w:firstLineChars="200"/>
        <w:jc w:val="left"/>
        <w:rPr>
          <w:sz w:val="52"/>
          <w:szCs w:val="72"/>
        </w:rPr>
      </w:pPr>
      <w:r>
        <w:rPr>
          <w:rFonts w:hint="eastAsia" w:ascii="Times New Roman" w:hAnsi="Times New Roman" w:eastAsia="宋体" w:cs="Times New Roman"/>
          <w:sz w:val="28"/>
        </w:rPr>
        <w:t>在今年的文明风采竞赛中我校多名教师辅导人学生获奖。同学们在参赛的过程中获得了自信。中职学生总是认为自己什么事情都做不好，通过参加明风采竞赛活动，使同学们感到在老师的帮助下，通过努力，能够做事，做成事，做好事。同学们说：虽然玩的时间少</w:t>
      </w:r>
    </w:p>
    <w:p>
      <w:pPr>
        <w:spacing w:line="360" w:lineRule="auto"/>
        <w:jc w:val="left"/>
        <w:rPr>
          <w:rFonts w:ascii="Times New Roman" w:hAnsi="Times New Roman" w:eastAsia="宋体" w:cs="Times New Roman"/>
          <w:sz w:val="28"/>
        </w:rPr>
      </w:pPr>
      <w:r>
        <w:rPr>
          <w:rFonts w:hint="eastAsia" w:ascii="Times New Roman" w:hAnsi="Times New Roman" w:eastAsia="宋体" w:cs="Times New Roman"/>
          <w:sz w:val="28"/>
        </w:rPr>
        <w:t>了，但很充实，很快乐。</w:t>
      </w:r>
    </w:p>
    <w:p>
      <w:pPr>
        <w:spacing w:line="360" w:lineRule="auto"/>
        <w:ind w:firstLine="560" w:firstLineChars="200"/>
        <w:jc w:val="left"/>
        <w:rPr>
          <w:rFonts w:ascii="Times New Roman" w:hAnsi="Times New Roman" w:eastAsia="宋体" w:cs="Times New Roman"/>
          <w:sz w:val="28"/>
        </w:rPr>
      </w:pPr>
      <w:r>
        <w:rPr>
          <w:rFonts w:hint="eastAsia" w:ascii="Times New Roman" w:hAnsi="Times New Roman" w:eastAsia="宋体" w:cs="Times New Roman"/>
          <w:sz w:val="28"/>
        </w:rPr>
        <w:t>通过本次明风采大赛的参赛活动，我校整合了各方面力量，各部门联动，全体老师齐上阵，辅导学生，管理学生，服务学生，形成了全员德育的良好局面。</w:t>
      </w:r>
    </w:p>
    <w:p>
      <w:pPr>
        <w:pStyle w:val="4"/>
        <w:ind w:left="420" w:leftChars="200"/>
        <w:rPr>
          <w:rFonts w:hint="default"/>
          <w:sz w:val="28"/>
          <w:szCs w:val="28"/>
        </w:rPr>
      </w:pPr>
      <w:bookmarkStart w:id="60" w:name="_Toc959"/>
      <w:bookmarkStart w:id="61" w:name="_Toc32742"/>
      <w:r>
        <w:rPr>
          <w:sz w:val="28"/>
          <w:szCs w:val="28"/>
        </w:rPr>
        <w:t>3.5.4社团活动、团组织学生会建设及活动</w:t>
      </w:r>
      <w:bookmarkEnd w:id="60"/>
      <w:bookmarkEnd w:id="61"/>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校团委规范学生社团组织。充分发挥学生个性特长，积极做好学生社团组织的管理、规范和创建工作。组织学生参加喜爱的社团组织，创建了书法、舞蹈、合唱、文学、街舞、篮球等18个社团，提高学生的人文素养和综合素质，为以后的就业创业奠定良好的基础。</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积极开展主题教育活动。开展了“开学第一课”、“我的中国梦”、“防溺水常识教育”等主题团日活动。开展了“践行雷锋精神，净化美化家园”志愿者活动，“爱我国防”主题演讲比赛，“趣味运动会”等系列活动，丰富了学生的校园文化生活，体现了职业教育的文化特色，增强了德育教育实效。</w:t>
      </w:r>
    </w:p>
    <w:p>
      <w:pPr>
        <w:pStyle w:val="3"/>
        <w:ind w:firstLine="643" w:firstLineChars="200"/>
        <w:rPr>
          <w:rFonts w:asciiTheme="majorEastAsia" w:hAnsiTheme="majorEastAsia" w:eastAsiaTheme="majorEastAsia" w:cstheme="majorEastAsia"/>
        </w:rPr>
      </w:pPr>
      <w:bookmarkStart w:id="62" w:name="_Toc20687"/>
      <w:bookmarkStart w:id="63" w:name="_Toc18604"/>
      <w:r>
        <w:rPr>
          <w:rFonts w:hint="eastAsia" w:asciiTheme="majorEastAsia" w:hAnsiTheme="majorEastAsia" w:eastAsiaTheme="majorEastAsia" w:cstheme="majorEastAsia"/>
        </w:rPr>
        <w:t>3.6党建情况</w:t>
      </w:r>
      <w:bookmarkEnd w:id="62"/>
      <w:bookmarkEnd w:id="63"/>
    </w:p>
    <w:p>
      <w:pPr>
        <w:pStyle w:val="22"/>
        <w:autoSpaceDE w:val="0"/>
        <w:autoSpaceDN w:val="0"/>
        <w:adjustRightInd w:val="0"/>
        <w:ind w:firstLine="560"/>
        <w:rPr>
          <w:rFonts w:asciiTheme="minorEastAsia" w:hAnsiTheme="minorEastAsia" w:cstheme="minorEastAsia"/>
          <w:sz w:val="28"/>
          <w:szCs w:val="28"/>
        </w:rPr>
      </w:pPr>
      <w:r>
        <w:rPr>
          <w:rFonts w:hint="eastAsia" w:asciiTheme="minorEastAsia" w:hAnsiTheme="minorEastAsia" w:cstheme="minorEastAsia"/>
          <w:sz w:val="28"/>
          <w:szCs w:val="28"/>
          <w:lang w:val="zh-CN"/>
        </w:rPr>
        <w:t>把准政治方向，站稳政治立场。学校坚持把党建工作放在首位，牢固树立“四个意识”，坚定“四个自信”，坚决做到“两个维护”，时刻把牢政治“方向标”，始终在政治立场、政治方向、政治原则、政治道路上同以习近平同志为核心的党中央保持高度一致。始终把坚决维护习近平总书记党中央的核心、全党的核心地位，作为一切工作的根和魂，贯穿到每一项工作、落实到每一个环节。</w:t>
      </w:r>
    </w:p>
    <w:p>
      <w:pPr>
        <w:pStyle w:val="11"/>
        <w:shd w:val="clear" w:color="auto" w:fill="FFFFFF"/>
        <w:spacing w:before="150" w:beforeAutospacing="0" w:after="0" w:afterAutospacing="0" w:line="368" w:lineRule="atLeas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抓党建就是抓发展，商丘商贸学校始终把旗帜鲜明讲政治放在第一位，在坚持抓好党建是最大政绩，推动学校发展是第一要务理念指引下，研究确定了用党的建设和意识形态工作的高质量，推动商贸学校各项工作的高质量实施意见，把加强学校基层党组织建设与提高教学质量、教育管理水平相结合，把党员教师队伍培养与教职工队伍建设相结合，把党性党风建设与师德师风建设相结合，充分发挥基层党组织在学校工作中的战斗堡垒作用和党员的先锋模范作用，让党建工作成为商丘商贸学校教育发展的“红色引擎”。</w:t>
      </w:r>
    </w:p>
    <w:p>
      <w:pPr>
        <w:pStyle w:val="11"/>
        <w:shd w:val="clear" w:color="auto" w:fill="FFFFFF"/>
        <w:spacing w:before="150" w:beforeAutospacing="0" w:after="0" w:afterAutospacing="0" w:line="368" w:lineRule="atLeast"/>
        <w:ind w:firstLine="560" w:firstLineChars="200"/>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2022年，迎来党的二十大，我校坚持以二十大精神为指导，加强思想建设、政治建设、组织建设和作风建设，深入推动“两学一做”学习教育常态化制度化，认真履行全面从严治党主体责任，充分发挥学校党组织的政治领导核心作用，学校以党建带德育，以党建创和谐，以党建助教学，以党建促服务，加强党的基层组织建设，从严治党，做到了制度化、规范化，充分发挥了党支部的战斗堡垒作用和党员的先锋模范带头作用，促使学校内涵式发展。虚功实做，把党建工作融入到工作的方方面面，在每一个岗位都要发挥党员的先锋模范带头作用，引领教师做“四有”教师，培养学生德智体美全面发展，引领学生快乐学习、健康成长。</w:t>
      </w:r>
      <w:r>
        <w:rPr>
          <w:rFonts w:hint="eastAsia" w:asciiTheme="minorEastAsia" w:hAnsiTheme="minorEastAsia" w:eastAsiaTheme="minorEastAsia" w:cstheme="minorEastAsia"/>
          <w:color w:val="000000" w:themeColor="text1"/>
          <w:sz w:val="28"/>
          <w:szCs w:val="28"/>
          <w14:textFill>
            <w14:solidFill>
              <w14:schemeClr w14:val="tx1"/>
            </w14:solidFill>
          </w14:textFill>
        </w:rPr>
        <w:t>以全区“讲政治 勇担当 马上就办 一抓到底”作风建设提升年活动和“不忘初心，牢记使命”主题教育为契机，及时将存在的问题进行梳理，严肃了工作纪律和组织纪律，加强教育，统一思想，提高大局意识、责任意识和创新意识，提高办事效率，加大对工作纪律考核的力度，努力把各项工作做好、做扎实，使工作态度明显转变、工作效能明显提高、工作质量明显提高、工作纪律明显增强。</w:t>
      </w:r>
    </w:p>
    <w:p>
      <w:pPr>
        <w:pStyle w:val="11"/>
        <w:shd w:val="clear" w:color="auto" w:fill="FFFFFF"/>
        <w:autoSpaceDE w:val="0"/>
        <w:autoSpaceDN w:val="0"/>
        <w:spacing w:before="150" w:beforeAutospacing="0" w:after="0" w:afterAutospacing="0" w:line="360" w:lineRule="auto"/>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喜迎二十大，继续加强党建阵地建设，新修建了党建成果展示室和党建文化长廊，并以校园内道路两旁的宣传栏为载体，精心制作了多块主题鲜明、内容丰富的党建文化展板，内容涵盖党代会发展史、党的二十大精神等，并以图文并茂的形式展示该校围绕社会主义核心价值观、深入推进“两学一做”学习教育等内容开展的各项党建活动，有效增强了党建工作的直观性、教育性和指导性，进一步提升了基层党建的文化内涵，切实发挥了党建的引领作用，使党的声音深入人心，真正做到了党建文化内化于心、外化于行，在全校师生中形成了人人关心党建、人人宣传党建的良好氛围，引领学校健康、快速发展。</w:t>
      </w:r>
    </w:p>
    <w:p>
      <w:pPr>
        <w:ind w:firstLine="560" w:firstLineChars="200"/>
        <w:jc w:val="left"/>
        <w:rPr>
          <w:rFonts w:asciiTheme="minorEastAsia" w:hAnsiTheme="minorEastAsia" w:cstheme="minorEastAsia"/>
          <w:color w:val="000000"/>
          <w:kern w:val="0"/>
          <w:sz w:val="28"/>
          <w:szCs w:val="28"/>
          <w:lang w:bidi="ar"/>
        </w:rPr>
      </w:pPr>
      <w:r>
        <w:rPr>
          <w:rFonts w:hint="eastAsia" w:asciiTheme="minorEastAsia" w:hAnsiTheme="minorEastAsia" w:cstheme="minorEastAsia"/>
          <w:sz w:val="28"/>
          <w:szCs w:val="28"/>
        </w:rPr>
        <w:t>党建工作为统领，围绕中心，服务大局。商丘商贸学校始终坚守以党的建设和意识形态工作的高质量，推动商贸学校各项工作的高质量发展，实现了党建工作和学校中心工作“同频共振”，党建工作的</w:t>
      </w:r>
      <w:r>
        <w:rPr>
          <w:rFonts w:hint="eastAsia" w:asciiTheme="minorEastAsia" w:hAnsiTheme="minorEastAsia" w:cstheme="minorEastAsia"/>
          <w:color w:val="000000"/>
          <w:kern w:val="0"/>
          <w:sz w:val="28"/>
          <w:szCs w:val="28"/>
          <w:lang w:bidi="ar"/>
        </w:rPr>
        <w:t>全方位提升，带动了学校各方面工作的全面提升。</w:t>
      </w:r>
    </w:p>
    <w:p>
      <w:pPr>
        <w:pStyle w:val="2"/>
        <w:ind w:left="420" w:leftChars="200"/>
        <w:rPr>
          <w:rFonts w:ascii="微软雅黑" w:hAnsi="微软雅黑" w:eastAsia="微软雅黑" w:cs="微软雅黑"/>
          <w:b w:val="0"/>
          <w:bCs/>
          <w:sz w:val="36"/>
          <w:szCs w:val="36"/>
        </w:rPr>
      </w:pPr>
      <w:bookmarkStart w:id="64" w:name="_Toc25107"/>
      <w:bookmarkStart w:id="65" w:name="_Toc2781"/>
      <w:r>
        <w:rPr>
          <w:rFonts w:hint="eastAsia" w:ascii="微软雅黑" w:hAnsi="微软雅黑" w:eastAsia="微软雅黑" w:cs="微软雅黑"/>
          <w:b w:val="0"/>
          <w:bCs/>
          <w:sz w:val="36"/>
          <w:szCs w:val="36"/>
        </w:rPr>
        <w:t>4.校企合作</w:t>
      </w:r>
      <w:bookmarkEnd w:id="64"/>
      <w:bookmarkEnd w:id="65"/>
    </w:p>
    <w:p>
      <w:pPr>
        <w:pStyle w:val="3"/>
        <w:ind w:left="420" w:leftChars="200"/>
        <w:rPr>
          <w:rFonts w:asciiTheme="majorEastAsia" w:hAnsiTheme="majorEastAsia" w:eastAsiaTheme="majorEastAsia" w:cstheme="majorEastAsia"/>
          <w:szCs w:val="32"/>
        </w:rPr>
      </w:pPr>
      <w:bookmarkStart w:id="66" w:name="_Toc13649"/>
      <w:bookmarkStart w:id="67" w:name="_Toc28796"/>
      <w:r>
        <w:rPr>
          <w:rFonts w:hint="eastAsia" w:asciiTheme="majorEastAsia" w:hAnsiTheme="majorEastAsia" w:eastAsiaTheme="majorEastAsia" w:cstheme="majorEastAsia"/>
          <w:szCs w:val="32"/>
        </w:rPr>
        <w:t>4.1 校企合作开展情况和效果</w:t>
      </w:r>
      <w:bookmarkEnd w:id="66"/>
      <w:bookmarkEnd w:id="67"/>
      <w:r>
        <w:rPr>
          <w:rFonts w:hint="eastAsia" w:asciiTheme="majorEastAsia" w:hAnsiTheme="majorEastAsia" w:eastAsiaTheme="majorEastAsia" w:cstheme="majorEastAsia"/>
          <w:szCs w:val="32"/>
        </w:rPr>
        <w:t xml:space="preserve"> </w:t>
      </w:r>
    </w:p>
    <w:p>
      <w:pPr>
        <w:ind w:firstLine="560" w:firstLineChars="200"/>
        <w:jc w:val="left"/>
        <w:rPr>
          <w:sz w:val="52"/>
          <w:szCs w:val="72"/>
        </w:rPr>
      </w:pPr>
      <w:r>
        <w:rPr>
          <w:rFonts w:hint="eastAsia" w:asciiTheme="minorEastAsia" w:hAnsiTheme="minorEastAsia" w:cstheme="minorEastAsia"/>
          <w:color w:val="000000"/>
          <w:kern w:val="0"/>
          <w:sz w:val="28"/>
          <w:szCs w:val="28"/>
          <w:lang w:bidi="ar"/>
        </w:rPr>
        <w:t>我校根据党的二十大对职业教育的精神要求，切实提高对办好中等职业教育重要性的认识，努力实</w:t>
      </w:r>
      <w:r>
        <w:rPr>
          <w:rFonts w:hint="eastAsia" w:asciiTheme="minorEastAsia" w:hAnsiTheme="minorEastAsia" w:cstheme="minorEastAsia"/>
          <w:sz w:val="28"/>
          <w:szCs w:val="28"/>
        </w:rPr>
        <w:t>现校企共建专业、共同开发课程、共建共享实训基地、共享校企人才资源、共同培养高技能人才、共同开展应用研究和技术开发，形成校企合作共赢的长效机制，同时向学生、向家长、向社会</w:t>
      </w:r>
      <w:r>
        <w:rPr>
          <w:rFonts w:hint="eastAsia" w:asciiTheme="minorEastAsia" w:hAnsiTheme="minorEastAsia" w:cstheme="minorEastAsia"/>
          <w:color w:val="000000"/>
          <w:kern w:val="0"/>
          <w:sz w:val="28"/>
          <w:szCs w:val="28"/>
        </w:rPr>
        <w:t>大力宣传我校职业教育改革发展成果</w:t>
      </w:r>
      <w:r>
        <w:rPr>
          <w:rFonts w:hint="eastAsia" w:asciiTheme="minorEastAsia" w:hAnsiTheme="minorEastAsia" w:cstheme="minorEastAsia"/>
          <w:sz w:val="28"/>
          <w:szCs w:val="28"/>
        </w:rPr>
        <w:t>。与我校进行校企合作的企业主要有三个。河南育才企业管理咨询有限公司是一家专业的中高教育装备综合解决方案、职业教育全程服务解决方案、个性化专业建设解决方案，精准就业、双师培训的综合性企业。北京易初教育科技有限公司致力培养具备国际视野、创新思维和卓越技术、适合时代发展的云计算、大数据、人工智能、新媒体技术、数据中心领域的专业人才。美丽空间形象顾问顶级沙龙成立于2003年，是商丘市唯一一家集专业发型设计、美容护肤、头皮养护、个人色彩诊断、个人风格测试及定制、服装与发型、彩妆整体搭配的形象设计机构。</w:t>
      </w:r>
    </w:p>
    <w:p>
      <w:pPr>
        <w:spacing w:line="360" w:lineRule="auto"/>
        <w:ind w:firstLine="560" w:firstLineChars="200"/>
        <w:rPr>
          <w:sz w:val="52"/>
          <w:szCs w:val="72"/>
        </w:rPr>
      </w:pPr>
      <w:r>
        <w:rPr>
          <w:rFonts w:hint="eastAsia" w:asciiTheme="minorEastAsia" w:hAnsiTheme="minorEastAsia" w:cstheme="minorEastAsia"/>
          <w:sz w:val="28"/>
          <w:szCs w:val="28"/>
        </w:rPr>
        <w:t>学校今年又导入渼树国潮沙龙全国连锁管理模式，让管理更全面系统化。他们致力于寻求未来更大的发展，每月组织管理人员及全体员工参加技术服务心态素质培训，使员工从中受益。 我校以校企合作为载体，搭建优秀企业文化融入校园文化的平台，校企合作共建校</w:t>
      </w:r>
    </w:p>
    <w:p>
      <w:pPr>
        <w:spacing w:line="360" w:lineRule="auto"/>
        <w:rPr>
          <w:sz w:val="52"/>
          <w:szCs w:val="72"/>
        </w:rPr>
      </w:pPr>
      <w:r>
        <w:rPr>
          <w:rFonts w:hint="eastAsia" w:asciiTheme="minorEastAsia" w:hAnsiTheme="minorEastAsia" w:cstheme="minorEastAsia"/>
          <w:sz w:val="28"/>
          <w:szCs w:val="28"/>
        </w:rPr>
        <w:t>园文化。在校园文化建设中，一是利用各种校园媒体广泛宣传校企合作专业，介绍企业文化、企业精神、管理理念，邀请企业人士到学校开办讲座，进行就业、创业教育，为企业打造实效社会宣传，实现校园文化和企业文化的深度融合；二是通过“订单”培养的模式，定期组织学生到企业中实习，置身于企业生产第一线，融入到企业员工中，</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切身感受企业文化。学校以就业为导向，加强职业指导工作，帮助学生了解职业，适应职业，促进其职业生涯的发展，让学生树立正确的就业观、择业观和企业观。</w:t>
      </w:r>
    </w:p>
    <w:p>
      <w:pPr>
        <w:pStyle w:val="3"/>
        <w:ind w:left="420" w:leftChars="200"/>
        <w:rPr>
          <w:rFonts w:ascii="仿宋" w:hAnsi="仿宋" w:eastAsia="仿宋" w:cs="仿宋"/>
          <w:bCs/>
          <w:spacing w:val="20"/>
          <w:szCs w:val="32"/>
        </w:rPr>
      </w:pPr>
      <w:bookmarkStart w:id="68" w:name="_Toc21518"/>
      <w:bookmarkStart w:id="69" w:name="_Toc14095"/>
      <w:r>
        <w:rPr>
          <w:rStyle w:val="18"/>
          <w:rFonts w:hint="eastAsia" w:asciiTheme="majorEastAsia" w:hAnsiTheme="majorEastAsia" w:eastAsiaTheme="majorEastAsia" w:cstheme="majorEastAsia"/>
          <w:b/>
          <w:bCs/>
        </w:rPr>
        <w:t>4.2学生实习情况</w:t>
      </w:r>
      <w:bookmarkEnd w:id="68"/>
      <w:bookmarkEnd w:id="69"/>
      <w:r>
        <w:rPr>
          <w:rFonts w:hint="eastAsia" w:asciiTheme="majorEastAsia" w:hAnsiTheme="majorEastAsia" w:eastAsiaTheme="majorEastAsia" w:cstheme="majorEastAsia"/>
          <w:bCs/>
          <w:spacing w:val="20"/>
          <w:szCs w:val="32"/>
        </w:rPr>
        <w:t xml:space="preserve"> </w:t>
      </w:r>
      <w:r>
        <w:rPr>
          <w:rFonts w:hint="eastAsia" w:ascii="仿宋" w:hAnsi="仿宋" w:eastAsia="仿宋" w:cs="仿宋"/>
          <w:bCs/>
          <w:spacing w:val="20"/>
          <w:szCs w:val="32"/>
        </w:rPr>
        <w:t xml:space="preserve">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今年我校学生在OPPO广东移动通信有限公司、宁德时代新能源科技有限公司、苏州仁宝、维景国际大酒店、商丘古城旅游公司、天津宇通公司汽修厂等企业顶岗实习，如在OPPO广东移动通信有限公司实习36人，在天津宇通公司汽修厂实习220人，在宁德时代新能源科技有限公司实习21人，在苏州仁宝电子实习268人，在维景国际大酒店实习9人，学生在实习期间，态度极其认真，工作积极、细心、踏实，能虚心接受指导；同时善于思考，作风朴实。严格遵守各单位的各项规章制度，实习期间未曾出现无故缺勤、迟到早退现象，并能与单位同事和睦相处，交流融洽，善于取长补短，注重团队合作。深受实习单位好评。</w:t>
      </w:r>
    </w:p>
    <w:p>
      <w:pPr>
        <w:pStyle w:val="3"/>
        <w:ind w:left="420" w:leftChars="200"/>
        <w:rPr>
          <w:rFonts w:asciiTheme="minorEastAsia" w:hAnsiTheme="minorEastAsia" w:eastAsiaTheme="minorEastAsia" w:cstheme="minorEastAsia"/>
          <w:bCs/>
          <w:spacing w:val="20"/>
          <w:szCs w:val="32"/>
        </w:rPr>
      </w:pPr>
      <w:bookmarkStart w:id="70" w:name="_Toc15526"/>
      <w:bookmarkStart w:id="71" w:name="_Toc29174"/>
      <w:r>
        <w:rPr>
          <w:rStyle w:val="18"/>
          <w:rFonts w:hint="eastAsia" w:asciiTheme="majorEastAsia" w:hAnsiTheme="majorEastAsia" w:eastAsiaTheme="majorEastAsia" w:cstheme="majorEastAsia"/>
          <w:b/>
          <w:bCs/>
        </w:rPr>
        <w:t>4.3集团化办学情况</w:t>
      </w:r>
      <w:bookmarkEnd w:id="70"/>
      <w:bookmarkEnd w:id="71"/>
      <w:r>
        <w:rPr>
          <w:rStyle w:val="18"/>
          <w:rFonts w:hint="eastAsia" w:asciiTheme="majorEastAsia" w:hAnsiTheme="majorEastAsia" w:eastAsiaTheme="majorEastAsia" w:cstheme="majorEastAsia"/>
          <w:b/>
          <w:bCs/>
        </w:rPr>
        <w:t xml:space="preserve"> </w:t>
      </w:r>
      <w:r>
        <w:rPr>
          <w:rFonts w:hint="eastAsia" w:asciiTheme="minorEastAsia" w:hAnsiTheme="minorEastAsia" w:eastAsiaTheme="minorEastAsia" w:cstheme="minorEastAsia"/>
          <w:bCs/>
          <w:spacing w:val="20"/>
          <w:szCs w:val="32"/>
        </w:rPr>
        <w:t xml:space="preserve"> </w:t>
      </w:r>
    </w:p>
    <w:p>
      <w:pPr>
        <w:spacing w:line="360" w:lineRule="auto"/>
        <w:ind w:firstLine="560" w:firstLineChars="200"/>
        <w:rPr>
          <w:sz w:val="52"/>
          <w:szCs w:val="72"/>
        </w:rPr>
      </w:pPr>
      <w:r>
        <w:rPr>
          <w:rFonts w:hint="eastAsia" w:asciiTheme="minorEastAsia" w:hAnsiTheme="minorEastAsia" w:cstheme="minorEastAsia"/>
          <w:sz w:val="28"/>
          <w:szCs w:val="28"/>
        </w:rPr>
        <w:t>我校已成立华商职教集团，实现集团化办学。并成为“河南省计算机职业教育集体”理事单位。</w:t>
      </w:r>
    </w:p>
    <w:p>
      <w:pPr>
        <w:pStyle w:val="2"/>
        <w:ind w:left="420" w:leftChars="200"/>
        <w:rPr>
          <w:rFonts w:ascii="微软雅黑" w:hAnsi="微软雅黑" w:eastAsia="微软雅黑" w:cs="微软雅黑"/>
          <w:b w:val="0"/>
          <w:bCs/>
          <w:sz w:val="36"/>
          <w:szCs w:val="36"/>
        </w:rPr>
      </w:pPr>
      <w:bookmarkStart w:id="72" w:name="_Toc18922"/>
      <w:bookmarkStart w:id="73" w:name="_Toc30349"/>
      <w:r>
        <w:rPr>
          <w:rFonts w:hint="eastAsia" w:ascii="微软雅黑" w:hAnsi="微软雅黑" w:eastAsia="微软雅黑" w:cs="微软雅黑"/>
          <w:b w:val="0"/>
          <w:bCs/>
          <w:sz w:val="36"/>
          <w:szCs w:val="36"/>
        </w:rPr>
        <w:t>5社会贡献</w:t>
      </w:r>
      <w:bookmarkEnd w:id="72"/>
      <w:bookmarkEnd w:id="73"/>
    </w:p>
    <w:p>
      <w:pPr>
        <w:pStyle w:val="3"/>
        <w:ind w:left="420" w:leftChars="200"/>
        <w:rPr>
          <w:rFonts w:asciiTheme="majorEastAsia" w:hAnsiTheme="majorEastAsia" w:eastAsiaTheme="majorEastAsia" w:cstheme="majorEastAsia"/>
        </w:rPr>
      </w:pPr>
      <w:bookmarkStart w:id="74" w:name="_Toc2597"/>
      <w:bookmarkStart w:id="75" w:name="_Toc10198"/>
      <w:r>
        <w:rPr>
          <w:rFonts w:hint="eastAsia" w:asciiTheme="majorEastAsia" w:hAnsiTheme="majorEastAsia" w:eastAsiaTheme="majorEastAsia" w:cstheme="majorEastAsia"/>
        </w:rPr>
        <w:t>5.1技术技能人才培养</w:t>
      </w:r>
      <w:bookmarkEnd w:id="74"/>
      <w:bookmarkEnd w:id="75"/>
    </w:p>
    <w:p>
      <w:pPr>
        <w:spacing w:line="360" w:lineRule="auto"/>
        <w:ind w:firstLine="560" w:firstLineChars="200"/>
        <w:rPr>
          <w:rFonts w:asciiTheme="minorEastAsia" w:hAnsiTheme="minorEastAsia" w:cstheme="minorEastAsia"/>
          <w:sz w:val="28"/>
          <w:szCs w:val="28"/>
        </w:rPr>
      </w:pPr>
      <w:bookmarkStart w:id="76" w:name="_Toc31231"/>
      <w:bookmarkStart w:id="77" w:name="_Toc6607"/>
      <w:r>
        <w:rPr>
          <w:rFonts w:hint="eastAsia" w:asciiTheme="minorEastAsia" w:hAnsiTheme="minorEastAsia" w:cstheme="minorEastAsia"/>
          <w:sz w:val="28"/>
          <w:szCs w:val="28"/>
        </w:rPr>
        <w:t>学校把学生就业指导工作视为事业发展的生命线。开展丰富多样创业教育活动，进行职业生涯成长规划教育，以培养学生的职业能力、职业素养；建立就业创业信息平台，强化就业创业管理，完善就业服务体系。建立就业学生管理的跟踪和巡视回访制度，积极为毕业生提供后续管理服务和技术支撑。</w:t>
      </w:r>
      <w:r>
        <w:rPr>
          <w:rFonts w:hint="eastAsia" w:asciiTheme="minorEastAsia" w:hAnsiTheme="minorEastAsia" w:cstheme="minorEastAsia"/>
          <w:kern w:val="0"/>
          <w:sz w:val="28"/>
          <w:szCs w:val="28"/>
        </w:rPr>
        <w:t>商丘商贸学校</w:t>
      </w:r>
      <w:r>
        <w:rPr>
          <w:rFonts w:hint="eastAsia" w:asciiTheme="minorEastAsia" w:hAnsiTheme="minorEastAsia" w:cstheme="minorEastAsia"/>
          <w:sz w:val="28"/>
          <w:szCs w:val="28"/>
        </w:rPr>
        <w:t>2022年毕业生数1493人，就业人数为1493人，就业率为100%；其中直接就业人数328人，对口就业率为100%，直接就业人数占毕业生人数的百分比为21.97%，升入高一级学校（对口升学）1165人，对口升学率100%。起薪情况，直接就业学生中，平均起薪2500元/月，其中2300-3200 元/月307人，3200 元/月以上21人。</w:t>
      </w:r>
    </w:p>
    <w:p>
      <w:pPr>
        <w:spacing w:line="360" w:lineRule="auto"/>
        <w:ind w:firstLine="560" w:firstLineChars="200"/>
        <w:rPr>
          <w:rFonts w:asciiTheme="minorEastAsia" w:hAnsiTheme="minorEastAsia" w:cstheme="minorEastAsia"/>
          <w:sz w:val="28"/>
          <w:szCs w:val="28"/>
        </w:rPr>
      </w:pPr>
    </w:p>
    <w:p>
      <w:pPr>
        <w:pStyle w:val="3"/>
        <w:ind w:left="420" w:leftChars="200"/>
        <w:rPr>
          <w:rFonts w:asciiTheme="majorEastAsia" w:hAnsiTheme="majorEastAsia" w:eastAsiaTheme="majorEastAsia" w:cstheme="majorEastAsia"/>
        </w:rPr>
      </w:pPr>
      <w:r>
        <w:rPr>
          <w:rFonts w:hint="eastAsia" w:asciiTheme="majorEastAsia" w:hAnsiTheme="majorEastAsia" w:eastAsiaTheme="majorEastAsia" w:cstheme="majorEastAsia"/>
        </w:rPr>
        <w:t>5.2社会服务</w:t>
      </w:r>
      <w:bookmarkEnd w:id="76"/>
      <w:bookmarkEnd w:id="77"/>
    </w:p>
    <w:p>
      <w:pPr>
        <w:spacing w:line="360" w:lineRule="auto"/>
        <w:ind w:firstLine="560" w:firstLineChars="200"/>
        <w:rPr>
          <w:rFonts w:asciiTheme="minorEastAsia" w:hAnsiTheme="minorEastAsia" w:cstheme="minorEastAsia"/>
          <w:sz w:val="28"/>
          <w:szCs w:val="28"/>
        </w:rPr>
      </w:pPr>
      <w:bookmarkStart w:id="78" w:name="_Toc8307"/>
      <w:bookmarkStart w:id="79" w:name="_Toc10219"/>
      <w:r>
        <w:rPr>
          <w:rFonts w:hint="eastAsia" w:asciiTheme="minorEastAsia" w:hAnsiTheme="minorEastAsia" w:cstheme="minorEastAsia"/>
          <w:sz w:val="28"/>
          <w:szCs w:val="28"/>
        </w:rPr>
        <w:t>我校始终坚持围绕行业、产业发展需要，加大社会服务工作力度，主动服务经济社会发展大局。</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校作为河南省公布的第三批1+X证书中职试点院校之一，根据河南省人民政府办公厅关于印发河南省职业技能提升行动方案（2019-2021年）的通知（豫政办〔2019〕50号）和商丘市教育体育局转发河南省教育厅办公室《关于做好2020年河南省职业院校全面开展职业培训 促进就业创业行动计划有关工作的通知》（教办职成〔2020〕142号）的通知文件精神，按照深化职业教育改革、提高人才培养质量、拓展就业本领为抓手，紧紧围绕市场开设专业，拓宽学生、社会人员就业、创业的渠道，积极开展1+X证书培训及社会就业重点群体的职业技能提升培训。</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（1）1+X证书专业教师培训</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学校抽调计算机、会计、建筑、电子商务等专业骨干教师20余人次参加1+X证书师资线下和线上培训，通过教师的不懈努力，均取得了1+X证书师资培训结业证书，基本能够满足1+X证书专业培养培训需求的教师队伍。</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（2）1+X证书学生培训</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根据1+X证书制度的相关理念，学校制定了相关专业培训标准，订购专业培训教材，更新培训设备，目前参加1+X证书专业培训的学生达到1375人次。</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（3）其它培训工作</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A、开展校企合作，我校与渼树国潮沙龙公司进行美发形象设计专业合作，建设有美发形象设计实训室2个，已开展专业培训112人次，现在学生已能熟练掌握其理论知识和专业技能水平，进入实训和试营业阶段。与上海盤天佰草合作培训中医康养专业培训102人次。</w:t>
      </w:r>
    </w:p>
    <w:p>
      <w:pPr>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对农村剩余劳动力进行种植、养殖等专业知识技能公益性培训1300余人次，与人武部合作开展的军前计算机技术、思想政治培训862人次。</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B、</w:t>
      </w:r>
      <w:r>
        <w:rPr>
          <w:rFonts w:hint="eastAsia" w:asciiTheme="minorEastAsia" w:hAnsiTheme="minorEastAsia" w:cstheme="minorEastAsia"/>
          <w:kern w:val="0"/>
          <w:sz w:val="28"/>
          <w:szCs w:val="28"/>
        </w:rPr>
        <w:t>建筑工程测量、机电设备安装与维修、会计、计算机应用、电子商务、平面设计专业学生技能培训1420余人次。</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C、我校于2022年抽调市场营销、机电专业骨干教师余传宝、袁光磊老师在梁园区水池铺镇进行了两期共112人次的“家用电器维修与保养”的公益性培训，10月份安排任敏、谢长征、张广法3位专业骨干教师与人武部合作开展的军人入伍前公益性技术培训约820人次，获得了政府及当地群众的一致好评，起到了良好的效果。</w:t>
      </w:r>
    </w:p>
    <w:p>
      <w:pPr>
        <w:pStyle w:val="3"/>
        <w:ind w:left="420" w:leftChars="200"/>
        <w:rPr>
          <w:rFonts w:asciiTheme="majorEastAsia" w:hAnsiTheme="majorEastAsia" w:eastAsiaTheme="majorEastAsia" w:cstheme="majorEastAsia"/>
        </w:rPr>
      </w:pPr>
      <w:r>
        <w:rPr>
          <w:rFonts w:hint="eastAsia" w:asciiTheme="majorEastAsia" w:hAnsiTheme="majorEastAsia" w:eastAsiaTheme="majorEastAsia" w:cstheme="majorEastAsia"/>
        </w:rPr>
        <w:t>5.3对口支援</w:t>
      </w:r>
      <w:bookmarkEnd w:id="78"/>
      <w:bookmarkEnd w:id="79"/>
    </w:p>
    <w:p>
      <w:pPr>
        <w:ind w:firstLine="560" w:firstLineChars="200"/>
        <w:rPr>
          <w:sz w:val="28"/>
          <w:szCs w:val="28"/>
        </w:rPr>
      </w:pPr>
      <w:r>
        <w:rPr>
          <w:rFonts w:hint="eastAsia"/>
          <w:sz w:val="28"/>
          <w:szCs w:val="28"/>
        </w:rPr>
        <w:t>依托学校涉农专业师资优势，按照区委区政府的统一安排，承担高辛镇杨岗村的对口扶贫任务。我校在商丘市第五中学设立睢阳区首个中职班，结合学生年龄特点，定期开展实训课与专业课相结合的特色教学模式。</w:t>
      </w:r>
    </w:p>
    <w:p>
      <w:pPr>
        <w:pStyle w:val="2"/>
        <w:ind w:left="420" w:leftChars="200"/>
        <w:rPr>
          <w:rFonts w:ascii="微软雅黑" w:hAnsi="微软雅黑" w:eastAsia="微软雅黑" w:cs="微软雅黑"/>
          <w:b w:val="0"/>
          <w:bCs/>
          <w:sz w:val="36"/>
          <w:szCs w:val="36"/>
        </w:rPr>
      </w:pPr>
      <w:bookmarkStart w:id="80" w:name="_Toc14225"/>
      <w:bookmarkStart w:id="81" w:name="_Toc28065"/>
      <w:r>
        <w:rPr>
          <w:rFonts w:hint="eastAsia" w:ascii="微软雅黑" w:hAnsi="微软雅黑" w:eastAsia="微软雅黑" w:cs="微软雅黑"/>
          <w:b w:val="0"/>
          <w:bCs/>
          <w:sz w:val="36"/>
          <w:szCs w:val="36"/>
        </w:rPr>
        <w:t>6.举办者履责</w:t>
      </w:r>
      <w:bookmarkEnd w:id="80"/>
      <w:bookmarkEnd w:id="81"/>
    </w:p>
    <w:p>
      <w:pPr>
        <w:pStyle w:val="3"/>
        <w:ind w:left="420" w:leftChars="200"/>
        <w:rPr>
          <w:rFonts w:asciiTheme="majorEastAsia" w:hAnsiTheme="majorEastAsia" w:eastAsiaTheme="majorEastAsia" w:cstheme="majorEastAsia"/>
        </w:rPr>
      </w:pPr>
      <w:bookmarkStart w:id="82" w:name="_Toc14336"/>
      <w:bookmarkStart w:id="83" w:name="_Toc19787"/>
      <w:r>
        <w:rPr>
          <w:rFonts w:hint="eastAsia" w:asciiTheme="majorEastAsia" w:hAnsiTheme="majorEastAsia" w:eastAsiaTheme="majorEastAsia" w:cstheme="majorEastAsia"/>
        </w:rPr>
        <w:t>6.1经费</w:t>
      </w:r>
      <w:bookmarkEnd w:id="82"/>
      <w:bookmarkEnd w:id="83"/>
    </w:p>
    <w:p>
      <w:pPr>
        <w:spacing w:line="360" w:lineRule="auto"/>
        <w:ind w:firstLine="560" w:firstLineChars="200"/>
        <w:rPr>
          <w:rFonts w:asciiTheme="minorEastAsia" w:hAnsiTheme="minorEastAsia" w:cstheme="minorEastAsia"/>
          <w:sz w:val="52"/>
          <w:szCs w:val="72"/>
        </w:rPr>
      </w:pPr>
      <w:r>
        <w:rPr>
          <w:rFonts w:hint="eastAsia" w:asciiTheme="minorEastAsia" w:hAnsiTheme="minorEastAsia" w:cstheme="minorEastAsia"/>
          <w:sz w:val="28"/>
          <w:szCs w:val="28"/>
        </w:rPr>
        <w:t>我区逐年加大对职业教育的投入，将职业教育附加费全面纳入公共财政预算管理。教育附加费预算资金主要用于现代职教体系建设，</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教师素质提升，内涵提升，外聘教师工资，改善办学条件等，为此优化了职业教育发展环境，为学校的发展提供了经费保障。省级及省级以上项目资金，地方配套资金能足额到位，保障项目建设的顺利实施。同时学校有健全的财务和资产管理制度，资金的收入和支出能严格按照学校财务管理制度和中小学财务管理制度执行。</w:t>
      </w:r>
    </w:p>
    <w:p>
      <w:pPr>
        <w:pStyle w:val="3"/>
        <w:ind w:left="420" w:leftChars="200"/>
        <w:rPr>
          <w:rFonts w:asciiTheme="majorEastAsia" w:hAnsiTheme="majorEastAsia" w:eastAsiaTheme="majorEastAsia" w:cstheme="majorEastAsia"/>
        </w:rPr>
      </w:pPr>
      <w:bookmarkStart w:id="84" w:name="_Toc10378"/>
      <w:bookmarkStart w:id="85" w:name="_Toc9809"/>
      <w:r>
        <w:rPr>
          <w:rFonts w:hint="eastAsia" w:asciiTheme="majorEastAsia" w:hAnsiTheme="majorEastAsia" w:eastAsiaTheme="majorEastAsia" w:cstheme="majorEastAsia"/>
        </w:rPr>
        <w:t>6.2政策措施</w:t>
      </w:r>
      <w:bookmarkEnd w:id="84"/>
      <w:bookmarkEnd w:id="85"/>
    </w:p>
    <w:p>
      <w:pPr>
        <w:spacing w:line="360" w:lineRule="auto"/>
        <w:ind w:firstLine="560" w:firstLineChars="200"/>
        <w:rPr>
          <w:rFonts w:ascii="楷体_GB2312" w:hAnsi="楷体_GB2312" w:eastAsia="楷体_GB2312" w:cs="楷体_GB2312"/>
          <w:b/>
          <w:bCs/>
          <w:sz w:val="32"/>
          <w:szCs w:val="32"/>
        </w:rPr>
      </w:pPr>
      <w:r>
        <w:rPr>
          <w:rFonts w:hint="eastAsia"/>
          <w:sz w:val="28"/>
          <w:szCs w:val="28"/>
        </w:rPr>
        <w:t>根据职业教育的特点，教师专业性比较强，学校教师编制及专业教师不足，为顺应职业教育的发展趋势，更好的培养社会有用人才，学校根据区域内社会经济发的特点和产业机构，自主调整专业的设置，招聘专业教师，同时加大专业教师培养力度。每年都根据所设置的专业进行教师招聘调整，适当放宽条件限制，逐步建立完善人才招聘培养的灵活机制，进一步为职业教育的发展服务，办有故事的学校，做有温度的教育。</w:t>
      </w:r>
    </w:p>
    <w:p>
      <w:pPr>
        <w:pStyle w:val="4"/>
        <w:ind w:firstLine="562" w:firstLineChars="200"/>
        <w:rPr>
          <w:rFonts w:hint="default"/>
          <w:sz w:val="28"/>
          <w:szCs w:val="28"/>
        </w:rPr>
      </w:pPr>
      <w:bookmarkStart w:id="86" w:name="_Toc16741"/>
      <w:bookmarkStart w:id="87" w:name="_Toc2643"/>
      <w:r>
        <w:rPr>
          <w:sz w:val="28"/>
          <w:szCs w:val="28"/>
        </w:rPr>
        <w:t>6.2.1提升质量 改革先行</w:t>
      </w:r>
      <w:bookmarkEnd w:id="86"/>
      <w:bookmarkEnd w:id="87"/>
    </w:p>
    <w:p>
      <w:pPr>
        <w:pStyle w:val="11"/>
        <w:spacing w:before="0" w:beforeAutospacing="0" w:after="0" w:afterAutospacing="0" w:line="22" w:lineRule="atLeast"/>
        <w:ind w:right="192"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rPr>
        <w:t>一是</w:t>
      </w:r>
      <w:r>
        <w:rPr>
          <w:rFonts w:hint="eastAsia" w:asciiTheme="minorEastAsia" w:hAnsiTheme="minorEastAsia" w:eastAsiaTheme="minorEastAsia" w:cstheme="minorEastAsia"/>
          <w:sz w:val="28"/>
          <w:szCs w:val="28"/>
        </w:rPr>
        <w:t>专业设置的改革。</w:t>
      </w:r>
    </w:p>
    <w:p>
      <w:pPr>
        <w:ind w:firstLine="560" w:firstLineChars="200"/>
        <w:rPr>
          <w:rFonts w:ascii="仿宋" w:hAnsi="仿宋" w:eastAsia="宋体"/>
          <w:sz w:val="28"/>
          <w:szCs w:val="28"/>
        </w:rPr>
      </w:pPr>
      <w:r>
        <w:rPr>
          <w:rFonts w:hint="eastAsia" w:ascii="仿宋_GB2312" w:eastAsia="宋体"/>
          <w:sz w:val="28"/>
          <w:szCs w:val="28"/>
        </w:rPr>
        <w:t>根据商丘市职业教育办学实际情况我校对2022年</w:t>
      </w:r>
      <w:r>
        <w:rPr>
          <w:rFonts w:ascii="仿宋_GB2312" w:eastAsia="宋体"/>
          <w:sz w:val="28"/>
          <w:szCs w:val="28"/>
        </w:rPr>
        <w:t>专业结构</w:t>
      </w:r>
      <w:r>
        <w:rPr>
          <w:rFonts w:hint="eastAsia" w:ascii="仿宋_GB2312" w:eastAsia="宋体"/>
          <w:sz w:val="28"/>
          <w:szCs w:val="28"/>
        </w:rPr>
        <w:t>进行了调整</w:t>
      </w:r>
      <w:r>
        <w:rPr>
          <w:rFonts w:ascii="仿宋_GB2312" w:eastAsia="宋体"/>
          <w:sz w:val="28"/>
          <w:szCs w:val="28"/>
        </w:rPr>
        <w:t>，</w:t>
      </w:r>
      <w:r>
        <w:rPr>
          <w:rFonts w:hint="eastAsia" w:ascii="仿宋_GB2312" w:eastAsia="宋体"/>
          <w:sz w:val="28"/>
          <w:szCs w:val="28"/>
        </w:rPr>
        <w:t>共开设建筑、机电、财经、计算机、电子商务、民族音乐与舞蹈等十余个专业。</w:t>
      </w:r>
      <w:r>
        <w:rPr>
          <w:rFonts w:ascii="仿宋_GB2312" w:eastAsia="宋体"/>
          <w:sz w:val="28"/>
          <w:szCs w:val="28"/>
        </w:rPr>
        <w:t>继续实施品牌化建设</w:t>
      </w:r>
      <w:r>
        <w:rPr>
          <w:rFonts w:hint="eastAsia" w:ascii="仿宋_GB2312" w:eastAsia="宋体"/>
          <w:sz w:val="28"/>
          <w:szCs w:val="28"/>
        </w:rPr>
        <w:t>，充分发挥专业教研组长的作用，加强专业组建设的同时认真分析本组的专业优势和特色，通过推进重点专业建设为突破口，加强专业群建设，对就业班的课程设置进行调整，减少文化课课时，增加专业实习操作课课时，文化课主要加强学生岗前培训教学内容为主，为学生上岗实习打好了基础。</w:t>
      </w:r>
    </w:p>
    <w:p>
      <w:pPr>
        <w:pStyle w:val="11"/>
        <w:spacing w:before="0" w:beforeAutospacing="0" w:after="0" w:afterAutospacing="0" w:line="22" w:lineRule="atLeast"/>
        <w:ind w:left="420" w:leftChars="200" w:right="19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8"/>
          <w:szCs w:val="28"/>
        </w:rPr>
        <w:t>二是教师队伍建设的改革。</w:t>
      </w:r>
    </w:p>
    <w:p>
      <w:pPr>
        <w:pStyle w:val="11"/>
        <w:spacing w:before="0" w:beforeAutospacing="0" w:after="0" w:afterAutospacing="0" w:line="22" w:lineRule="atLeast"/>
        <w:ind w:right="192" w:firstLine="560" w:firstLineChars="200"/>
        <w:rPr>
          <w:sz w:val="22"/>
          <w:szCs w:val="22"/>
        </w:rPr>
      </w:pPr>
      <w:r>
        <w:rPr>
          <w:rFonts w:ascii="仿宋_GB2312" w:cs="仿宋_GB2312"/>
          <w:sz w:val="28"/>
          <w:szCs w:val="28"/>
        </w:rPr>
        <w:t>学校以教师培养、评聘和考核为核心，以教师全员培训、集中专题培训为主要形式，建设高素质专业化教师队伍，强化“双导师制”队伍建设。学校建立了以教学成果为导向的教师考核机制，并将业绩同教师薪金挂钩，内部形成了竞争机制，促进教师的良性发展。</w:t>
      </w:r>
    </w:p>
    <w:p>
      <w:pPr>
        <w:pStyle w:val="11"/>
        <w:spacing w:before="0" w:beforeAutospacing="0" w:after="0" w:afterAutospacing="0" w:line="22" w:lineRule="atLeast"/>
        <w:ind w:right="192" w:firstLine="560" w:firstLineChars="200"/>
        <w:rPr>
          <w:sz w:val="22"/>
          <w:szCs w:val="22"/>
        </w:rPr>
      </w:pPr>
      <w:r>
        <w:rPr>
          <w:rFonts w:ascii="仿宋_GB2312" w:cs="仿宋_GB2312"/>
          <w:sz w:val="28"/>
          <w:szCs w:val="28"/>
        </w:rPr>
        <w:t>建立了教师梯队建设和新老教师结对帮带制度，对新入职教师实施岗位准入制度，实施学校与企业管理人员双向挂职锻炼，提高专业教师的实践能力和教学水平。鼓励企业选派有实践经验的行业企业专家、高技能人才和社会能工巧匠等担任学校的兼职教师。</w:t>
      </w:r>
    </w:p>
    <w:p>
      <w:pPr>
        <w:pStyle w:val="11"/>
        <w:tabs>
          <w:tab w:val="center" w:pos="4153"/>
        </w:tabs>
        <w:spacing w:before="0" w:beforeAutospacing="0" w:after="0" w:afterAutospacing="0" w:line="22" w:lineRule="atLeast"/>
        <w:ind w:left="420" w:leftChars="200" w:right="192" w:firstLine="280" w:firstLineChars="100"/>
        <w:rPr>
          <w:rFonts w:ascii="仿宋_GB2312"/>
          <w:kern w:val="2"/>
          <w:sz w:val="28"/>
          <w:szCs w:val="28"/>
        </w:rPr>
      </w:pPr>
      <w:r>
        <w:rPr>
          <w:rFonts w:hint="eastAsia" w:ascii="仿宋_GB2312" w:cs="仿宋_GB2312"/>
          <w:sz w:val="28"/>
          <w:szCs w:val="28"/>
        </w:rPr>
        <w:t>三是</w:t>
      </w:r>
      <w:r>
        <w:rPr>
          <w:rFonts w:ascii="仿宋_GB2312"/>
          <w:kern w:val="2"/>
          <w:sz w:val="28"/>
          <w:szCs w:val="28"/>
        </w:rPr>
        <w:t>人才培养模式</w:t>
      </w:r>
      <w:r>
        <w:rPr>
          <w:rFonts w:hint="eastAsia" w:ascii="仿宋_GB2312"/>
          <w:kern w:val="2"/>
          <w:sz w:val="28"/>
          <w:szCs w:val="28"/>
        </w:rPr>
        <w:t>的</w:t>
      </w:r>
      <w:r>
        <w:rPr>
          <w:rFonts w:ascii="仿宋_GB2312"/>
          <w:kern w:val="2"/>
          <w:sz w:val="28"/>
          <w:szCs w:val="28"/>
        </w:rPr>
        <w:t>改革</w:t>
      </w:r>
      <w:r>
        <w:rPr>
          <w:rFonts w:hint="eastAsia" w:ascii="仿宋_GB2312"/>
          <w:kern w:val="2"/>
          <w:sz w:val="28"/>
          <w:szCs w:val="28"/>
        </w:rPr>
        <w:t>。</w:t>
      </w:r>
      <w:r>
        <w:rPr>
          <w:rFonts w:hint="eastAsia" w:ascii="仿宋_GB2312"/>
          <w:kern w:val="2"/>
          <w:sz w:val="28"/>
          <w:szCs w:val="28"/>
        </w:rPr>
        <w:tab/>
      </w:r>
      <w:r>
        <w:rPr>
          <w:rFonts w:hint="eastAsia" w:ascii="仿宋_GB2312"/>
          <w:kern w:val="2"/>
          <w:sz w:val="28"/>
          <w:szCs w:val="28"/>
        </w:rPr>
        <w:tab/>
      </w:r>
      <w:r>
        <w:rPr>
          <w:rFonts w:hint="eastAsia" w:ascii="仿宋_GB2312"/>
          <w:kern w:val="2"/>
          <w:sz w:val="28"/>
          <w:szCs w:val="28"/>
        </w:rPr>
        <w:tab/>
      </w:r>
    </w:p>
    <w:p>
      <w:pPr>
        <w:pStyle w:val="11"/>
        <w:spacing w:before="0" w:beforeAutospacing="0" w:after="0" w:afterAutospacing="0" w:line="22" w:lineRule="atLeast"/>
        <w:ind w:left="192" w:right="192" w:firstLine="560" w:firstLineChars="200"/>
        <w:rPr>
          <w:rFonts w:ascii="仿宋_GB2312"/>
          <w:kern w:val="2"/>
          <w:sz w:val="28"/>
          <w:szCs w:val="28"/>
        </w:rPr>
      </w:pPr>
      <w:r>
        <w:rPr>
          <w:rFonts w:ascii="仿宋_GB2312"/>
          <w:kern w:val="2"/>
          <w:sz w:val="28"/>
          <w:szCs w:val="28"/>
        </w:rPr>
        <w:t>模式一：理实一体化教学模式。学校实训室均设立教学区、练习区，师生在理实一体化的教学情境中，通过</w:t>
      </w:r>
      <w:r>
        <w:rPr>
          <w:rFonts w:hint="eastAsia" w:ascii="仿宋_GB2312"/>
          <w:kern w:val="2"/>
          <w:sz w:val="28"/>
          <w:szCs w:val="28"/>
        </w:rPr>
        <w:t>“</w:t>
      </w:r>
      <w:r>
        <w:rPr>
          <w:rFonts w:ascii="仿宋_GB2312"/>
          <w:kern w:val="2"/>
          <w:sz w:val="28"/>
          <w:szCs w:val="28"/>
        </w:rPr>
        <w:t>做中教、做中学</w:t>
      </w:r>
      <w:r>
        <w:rPr>
          <w:rFonts w:hint="eastAsia" w:ascii="仿宋_GB2312"/>
          <w:kern w:val="2"/>
          <w:sz w:val="28"/>
          <w:szCs w:val="28"/>
        </w:rPr>
        <w:t>”</w:t>
      </w:r>
      <w:r>
        <w:rPr>
          <w:rFonts w:ascii="仿宋_GB2312"/>
          <w:kern w:val="2"/>
          <w:sz w:val="28"/>
          <w:szCs w:val="28"/>
        </w:rPr>
        <w:t>，达到一定的练习量后进行达标考核，使学生通过</w:t>
      </w:r>
      <w:r>
        <w:rPr>
          <w:rFonts w:hint="eastAsia" w:ascii="仿宋_GB2312"/>
          <w:kern w:val="2"/>
          <w:sz w:val="28"/>
          <w:szCs w:val="28"/>
        </w:rPr>
        <w:t>“</w:t>
      </w:r>
      <w:r>
        <w:rPr>
          <w:rFonts w:ascii="仿宋_GB2312"/>
          <w:kern w:val="2"/>
          <w:sz w:val="28"/>
          <w:szCs w:val="28"/>
        </w:rPr>
        <w:t>学习-练习-掌握-强化</w:t>
      </w:r>
      <w:r>
        <w:rPr>
          <w:rFonts w:hint="eastAsia" w:ascii="仿宋_GB2312"/>
          <w:kern w:val="2"/>
          <w:sz w:val="28"/>
          <w:szCs w:val="28"/>
        </w:rPr>
        <w:t>”</w:t>
      </w:r>
      <w:r>
        <w:rPr>
          <w:rFonts w:ascii="仿宋_GB2312"/>
          <w:kern w:val="2"/>
          <w:sz w:val="28"/>
          <w:szCs w:val="28"/>
        </w:rPr>
        <w:t>四个阶段巩固技能。</w:t>
      </w:r>
    </w:p>
    <w:p>
      <w:pPr>
        <w:pStyle w:val="11"/>
        <w:spacing w:before="0" w:beforeAutospacing="0" w:after="0" w:afterAutospacing="0" w:line="22" w:lineRule="atLeast"/>
        <w:ind w:left="192" w:right="192" w:firstLine="560" w:firstLineChars="200"/>
        <w:rPr>
          <w:rFonts w:ascii="仿宋_GB2312"/>
          <w:kern w:val="2"/>
          <w:sz w:val="28"/>
          <w:szCs w:val="28"/>
        </w:rPr>
      </w:pPr>
      <w:r>
        <w:rPr>
          <w:rFonts w:ascii="仿宋_GB2312"/>
          <w:kern w:val="2"/>
          <w:sz w:val="28"/>
          <w:szCs w:val="28"/>
        </w:rPr>
        <w:t>模式二：集中训练周模式。各专业所有实训课程，均实施理论课与实训课交叉进行，每2周进行轮换，保证实训效果。通过实训，消化课程理论，训练操作技能，培养职业素质，通过针对性的理论学习指导实训操作，使理论知识和实践技能同步提高。</w:t>
      </w:r>
    </w:p>
    <w:p>
      <w:pPr>
        <w:pStyle w:val="11"/>
        <w:spacing w:before="0" w:beforeAutospacing="0" w:after="0" w:afterAutospacing="0" w:line="22" w:lineRule="atLeast"/>
        <w:ind w:left="192" w:right="192" w:firstLine="620"/>
        <w:jc w:val="both"/>
        <w:rPr>
          <w:rFonts w:ascii="仿宋_GB2312"/>
          <w:kern w:val="2"/>
          <w:sz w:val="28"/>
          <w:szCs w:val="28"/>
        </w:rPr>
      </w:pPr>
      <w:r>
        <w:rPr>
          <w:rFonts w:ascii="仿宋_GB2312"/>
          <w:kern w:val="2"/>
          <w:sz w:val="28"/>
          <w:szCs w:val="28"/>
        </w:rPr>
        <w:t>模式</w:t>
      </w:r>
      <w:r>
        <w:rPr>
          <w:rFonts w:hint="eastAsia" w:ascii="仿宋_GB2312"/>
          <w:kern w:val="2"/>
          <w:sz w:val="28"/>
          <w:szCs w:val="28"/>
        </w:rPr>
        <w:t>三</w:t>
      </w:r>
      <w:r>
        <w:rPr>
          <w:rFonts w:ascii="仿宋_GB2312"/>
          <w:kern w:val="2"/>
          <w:sz w:val="28"/>
          <w:szCs w:val="28"/>
        </w:rPr>
        <w:t>：项目教学、场景教学等教学模式。所有专业课程均在校内实训基地采用场景教学法进行项目教学。</w:t>
      </w:r>
    </w:p>
    <w:p>
      <w:pPr>
        <w:pStyle w:val="11"/>
        <w:spacing w:before="0" w:beforeAutospacing="0" w:after="0" w:afterAutospacing="0" w:line="22" w:lineRule="atLeast"/>
        <w:ind w:right="192" w:firstLine="560" w:firstLineChars="200"/>
        <w:jc w:val="both"/>
        <w:rPr>
          <w:rFonts w:ascii="仿宋_GB2312" w:cs="仿宋_GB2312"/>
          <w:sz w:val="32"/>
          <w:szCs w:val="32"/>
        </w:rPr>
      </w:pPr>
      <w:r>
        <w:rPr>
          <w:rFonts w:ascii="仿宋_GB2312"/>
          <w:kern w:val="2"/>
          <w:sz w:val="28"/>
          <w:szCs w:val="28"/>
        </w:rPr>
        <w:t>以上的几种教学模式，缩短了技能与岗位、专业与职业、课堂与车间、实训与生产的距离，增强了学生对未来工作的适应性。在实施前均制定教学模式改革方案、实施性教学计划，在实施结束后作详细的总结和分析。</w:t>
      </w:r>
      <w:r>
        <w:rPr>
          <w:rFonts w:ascii="仿宋_GB2312" w:cs="仿宋_GB2312"/>
          <w:sz w:val="28"/>
          <w:szCs w:val="28"/>
        </w:rPr>
        <w:t>  </w:t>
      </w:r>
    </w:p>
    <w:p>
      <w:pPr>
        <w:pStyle w:val="11"/>
        <w:spacing w:before="0" w:beforeAutospacing="0" w:after="0" w:afterAutospacing="0" w:line="22" w:lineRule="atLeast"/>
        <w:ind w:right="192" w:firstLine="560" w:firstLineChars="200"/>
        <w:jc w:val="both"/>
        <w:rPr>
          <w:rFonts w:ascii="仿宋_GB2312" w:cs="仿宋_GB2312"/>
          <w:sz w:val="28"/>
          <w:szCs w:val="28"/>
        </w:rPr>
      </w:pPr>
      <w:r>
        <w:rPr>
          <w:rFonts w:hint="eastAsia" w:ascii="仿宋_GB2312" w:cs="仿宋_GB2312"/>
          <w:sz w:val="28"/>
          <w:szCs w:val="28"/>
        </w:rPr>
        <w:t>四是</w:t>
      </w:r>
      <w:r>
        <w:rPr>
          <w:rFonts w:ascii="仿宋" w:hAnsi="仿宋"/>
          <w:sz w:val="28"/>
          <w:szCs w:val="28"/>
        </w:rPr>
        <w:t>信息化教学</w:t>
      </w:r>
      <w:r>
        <w:rPr>
          <w:rFonts w:hint="eastAsia" w:ascii="仿宋" w:hAnsi="仿宋"/>
          <w:sz w:val="28"/>
          <w:szCs w:val="28"/>
        </w:rPr>
        <w:t>的改革。</w:t>
      </w:r>
    </w:p>
    <w:p>
      <w:pPr>
        <w:pStyle w:val="11"/>
        <w:spacing w:before="0" w:beforeAutospacing="0" w:after="0" w:afterAutospacing="0" w:line="22" w:lineRule="atLeast"/>
        <w:ind w:right="192" w:firstLine="560" w:firstLineChars="200"/>
        <w:jc w:val="both"/>
        <w:rPr>
          <w:rFonts w:ascii="仿宋" w:hAnsi="仿宋"/>
          <w:sz w:val="28"/>
          <w:szCs w:val="28"/>
        </w:rPr>
      </w:pPr>
      <w:r>
        <w:rPr>
          <w:rFonts w:ascii="仿宋" w:hAnsi="仿宋"/>
          <w:sz w:val="28"/>
          <w:szCs w:val="28"/>
        </w:rPr>
        <w:t>为了有效地降低实训成本，提高实训效果，学校为会计、</w:t>
      </w:r>
      <w:r>
        <w:rPr>
          <w:rFonts w:hint="eastAsia" w:ascii="仿宋" w:hAnsi="仿宋"/>
          <w:sz w:val="28"/>
          <w:szCs w:val="28"/>
        </w:rPr>
        <w:t>建筑</w:t>
      </w:r>
      <w:r>
        <w:rPr>
          <w:rFonts w:ascii="仿宋" w:hAnsi="仿宋"/>
          <w:sz w:val="28"/>
          <w:szCs w:val="28"/>
        </w:rPr>
        <w:t>、机电、市场营销和电子商务等专业购买虚拟仿真实训系统</w:t>
      </w:r>
      <w:r>
        <w:rPr>
          <w:rFonts w:hint="eastAsia" w:ascii="仿宋" w:hAnsi="仿宋"/>
          <w:sz w:val="28"/>
          <w:szCs w:val="28"/>
        </w:rPr>
        <w:t>，</w:t>
      </w:r>
      <w:r>
        <w:rPr>
          <w:rFonts w:ascii="仿宋" w:hAnsi="仿宋"/>
          <w:sz w:val="28"/>
          <w:szCs w:val="28"/>
        </w:rPr>
        <w:t>教师根据教学要求自主开发部分教学资源，分为公共基础课和专业技能课，内容包括 PPT 教案、实训项目库、教学案例、考试试题库</w:t>
      </w:r>
      <w:r>
        <w:rPr>
          <w:rFonts w:hint="eastAsia" w:ascii="仿宋" w:hAnsi="仿宋"/>
          <w:sz w:val="28"/>
          <w:szCs w:val="28"/>
        </w:rPr>
        <w:t>等</w:t>
      </w:r>
      <w:r>
        <w:rPr>
          <w:rFonts w:ascii="仿宋" w:hAnsi="仿宋"/>
          <w:sz w:val="28"/>
          <w:szCs w:val="28"/>
        </w:rPr>
        <w:t>。</w:t>
      </w:r>
    </w:p>
    <w:p>
      <w:pPr>
        <w:pStyle w:val="4"/>
        <w:ind w:left="420" w:leftChars="200"/>
        <w:rPr>
          <w:rFonts w:hint="default"/>
          <w:sz w:val="28"/>
          <w:szCs w:val="28"/>
        </w:rPr>
      </w:pPr>
      <w:bookmarkStart w:id="88" w:name="_Toc27417"/>
      <w:bookmarkStart w:id="89" w:name="_Toc6142"/>
      <w:r>
        <w:rPr>
          <w:sz w:val="28"/>
          <w:szCs w:val="28"/>
        </w:rPr>
        <w:t>6.2.2完善制度 规范管理</w:t>
      </w:r>
      <w:bookmarkEnd w:id="88"/>
      <w:bookmarkEnd w:id="89"/>
    </w:p>
    <w:p>
      <w:pPr>
        <w:pStyle w:val="11"/>
        <w:spacing w:before="0" w:beforeAutospacing="0" w:after="0" w:afterAutospacing="0" w:line="22" w:lineRule="atLeast"/>
        <w:ind w:right="192" w:firstLine="560" w:firstLineChars="200"/>
        <w:rPr>
          <w:rFonts w:ascii="仿宋_GB2312" w:cs="仿宋_GB2312"/>
          <w:color w:val="000000"/>
          <w:sz w:val="28"/>
          <w:szCs w:val="28"/>
        </w:rPr>
      </w:pPr>
      <w:r>
        <w:rPr>
          <w:rFonts w:ascii="仿宋_GB2312" w:cs="仿宋_GB2312"/>
          <w:color w:val="000000"/>
          <w:sz w:val="28"/>
          <w:szCs w:val="28"/>
        </w:rPr>
        <w:t>在校企一体化办学基础上，充分发挥市场机制作用，本着“以人为本”的管理理念，在借助集团优秀管理模式的基础上，形成了“学校管理企业化、学生管理人性化”的管理模式，建成了完善的现代学校制度。</w:t>
      </w:r>
    </w:p>
    <w:p>
      <w:pPr>
        <w:pStyle w:val="11"/>
        <w:spacing w:before="0" w:beforeAutospacing="0" w:after="0" w:afterAutospacing="0" w:line="22" w:lineRule="atLeast"/>
        <w:ind w:left="420" w:leftChars="200" w:right="192"/>
        <w:rPr>
          <w:color w:val="000000"/>
          <w:sz w:val="22"/>
          <w:szCs w:val="22"/>
        </w:rPr>
      </w:pPr>
      <w:r>
        <w:rPr>
          <w:rFonts w:hint="eastAsia" w:ascii="仿宋_GB2312" w:cs="仿宋_GB2312"/>
          <w:color w:val="000000"/>
          <w:sz w:val="28"/>
          <w:szCs w:val="28"/>
        </w:rPr>
        <w:t>一是</w:t>
      </w:r>
      <w:r>
        <w:rPr>
          <w:rFonts w:ascii="仿宋_GB2312" w:cs="仿宋_GB2312"/>
          <w:color w:val="000000"/>
          <w:sz w:val="28"/>
          <w:szCs w:val="28"/>
        </w:rPr>
        <w:t>制定管理水平提升计划</w:t>
      </w:r>
      <w:r>
        <w:rPr>
          <w:rFonts w:hint="eastAsia" w:ascii="仿宋_GB2312" w:cs="仿宋_GB2312"/>
          <w:color w:val="000000"/>
          <w:sz w:val="28"/>
          <w:szCs w:val="28"/>
        </w:rPr>
        <w:t>。</w:t>
      </w:r>
    </w:p>
    <w:p>
      <w:pPr>
        <w:pStyle w:val="11"/>
        <w:spacing w:before="0" w:beforeAutospacing="0" w:after="0" w:afterAutospacing="0" w:line="22" w:lineRule="atLeast"/>
        <w:ind w:left="192" w:right="192" w:firstLine="560" w:firstLineChars="200"/>
        <w:rPr>
          <w:color w:val="000000"/>
          <w:sz w:val="22"/>
          <w:szCs w:val="22"/>
        </w:rPr>
      </w:pPr>
      <w:r>
        <w:rPr>
          <w:rFonts w:ascii="仿宋_GB2312" w:cs="仿宋_GB2312"/>
          <w:color w:val="000000"/>
          <w:sz w:val="28"/>
          <w:szCs w:val="28"/>
        </w:rPr>
        <w:t>根据</w:t>
      </w:r>
      <w:r>
        <w:rPr>
          <w:rFonts w:hint="eastAsia" w:ascii="仿宋_GB2312" w:cs="仿宋_GB2312"/>
          <w:color w:val="000000"/>
          <w:sz w:val="28"/>
          <w:szCs w:val="28"/>
        </w:rPr>
        <w:t>中等职业学校</w:t>
      </w:r>
      <w:r>
        <w:rPr>
          <w:rFonts w:ascii="仿宋_GB2312" w:cs="仿宋_GB2312"/>
          <w:color w:val="000000"/>
          <w:sz w:val="28"/>
          <w:szCs w:val="28"/>
        </w:rPr>
        <w:t>发展需要结合学校实际，制定学校今后三年发展目标和</w:t>
      </w:r>
      <w:r>
        <w:rPr>
          <w:rFonts w:hint="eastAsia" w:ascii="仿宋_GB2312" w:cs="仿宋_GB2312"/>
          <w:color w:val="000000"/>
          <w:sz w:val="28"/>
          <w:szCs w:val="28"/>
        </w:rPr>
        <w:t>规划</w:t>
      </w:r>
      <w:r>
        <w:rPr>
          <w:rFonts w:ascii="仿宋_GB2312" w:cs="仿宋_GB2312"/>
          <w:color w:val="000000"/>
          <w:sz w:val="28"/>
          <w:szCs w:val="28"/>
        </w:rPr>
        <w:t>，明确管理重点、细化管理要素，更新管理理念，完善各项制度标准。</w:t>
      </w:r>
    </w:p>
    <w:p>
      <w:pPr>
        <w:pStyle w:val="11"/>
        <w:spacing w:before="0" w:beforeAutospacing="0" w:after="0" w:afterAutospacing="0" w:line="22" w:lineRule="atLeast"/>
        <w:ind w:left="420" w:leftChars="200" w:right="192"/>
        <w:rPr>
          <w:rFonts w:ascii="仿宋_GB2312" w:hAnsi="仿宋_GB2312" w:cs="仿宋_GB2312"/>
          <w:color w:val="000000"/>
          <w:sz w:val="28"/>
          <w:szCs w:val="28"/>
        </w:rPr>
      </w:pPr>
      <w:r>
        <w:rPr>
          <w:rFonts w:hint="eastAsia" w:ascii="仿宋_GB2312" w:hAnsi="仿宋_GB2312" w:cs="仿宋_GB2312"/>
          <w:color w:val="000000"/>
          <w:sz w:val="28"/>
          <w:szCs w:val="28"/>
        </w:rPr>
        <w:t>二是建立现代学校制度。</w:t>
      </w:r>
    </w:p>
    <w:p>
      <w:pPr>
        <w:pStyle w:val="11"/>
        <w:spacing w:before="0" w:beforeAutospacing="0" w:after="0" w:afterAutospacing="0" w:line="22" w:lineRule="atLeast"/>
        <w:ind w:right="192" w:firstLine="560" w:firstLineChars="200"/>
        <w:rPr>
          <w:rFonts w:ascii="仿宋_GB2312" w:cs="仿宋_GB2312"/>
          <w:color w:val="000000"/>
          <w:sz w:val="28"/>
          <w:szCs w:val="28"/>
        </w:rPr>
      </w:pPr>
      <w:r>
        <w:rPr>
          <w:rFonts w:ascii="仿宋_GB2312" w:cs="仿宋_GB2312"/>
          <w:color w:val="000000"/>
          <w:sz w:val="28"/>
          <w:szCs w:val="28"/>
        </w:rPr>
        <w:t>将企业管理考核方法适当引入学校管理，并逐渐完善以业绩为主的学校现代管理制度。新增和修订《教职工代表大会制度》、《学校各处室考评考核办法》、《教学常规管理规定》、《教师工作绩效考核方案》、《教师准入制度》</w:t>
      </w:r>
      <w:r>
        <w:rPr>
          <w:rFonts w:hint="eastAsia" w:ascii="仿宋_GB2312" w:cs="仿宋_GB2312"/>
          <w:color w:val="000000"/>
          <w:sz w:val="28"/>
          <w:szCs w:val="28"/>
        </w:rPr>
        <w:t>、</w:t>
      </w:r>
      <w:r>
        <w:rPr>
          <w:rFonts w:ascii="仿宋_GB2312" w:cs="仿宋_GB2312"/>
          <w:color w:val="000000"/>
          <w:sz w:val="28"/>
          <w:szCs w:val="28"/>
        </w:rPr>
        <w:t>《班主任工作绩效考核奖励条例》</w:t>
      </w:r>
      <w:r>
        <w:rPr>
          <w:rFonts w:hint="eastAsia" w:ascii="仿宋_GB2312" w:cs="仿宋_GB2312"/>
          <w:color w:val="000000"/>
          <w:sz w:val="28"/>
          <w:szCs w:val="28"/>
        </w:rPr>
        <w:t>、</w:t>
      </w:r>
      <w:r>
        <w:rPr>
          <w:rFonts w:ascii="仿宋_GB2312" w:cs="仿宋_GB2312"/>
          <w:color w:val="000000"/>
          <w:sz w:val="28"/>
          <w:szCs w:val="28"/>
        </w:rPr>
        <w:t>《专业教学指导委员会工作章程》、《学生考核管理实施细则》等一系列规章制度。</w:t>
      </w:r>
    </w:p>
    <w:p>
      <w:pPr>
        <w:pStyle w:val="11"/>
        <w:spacing w:before="0" w:beforeAutospacing="0" w:after="0" w:afterAutospacing="0" w:line="22" w:lineRule="atLeast"/>
        <w:ind w:right="192" w:firstLine="560" w:firstLineChars="200"/>
        <w:rPr>
          <w:rFonts w:ascii="仿宋_GB2312" w:cs="仿宋_GB2312"/>
          <w:color w:val="000000"/>
          <w:sz w:val="28"/>
          <w:szCs w:val="28"/>
        </w:rPr>
      </w:pPr>
      <w:r>
        <w:rPr>
          <w:rFonts w:ascii="仿宋_GB2312" w:cs="仿宋_GB2312"/>
          <w:color w:val="000000"/>
          <w:sz w:val="28"/>
          <w:szCs w:val="28"/>
        </w:rPr>
        <w:t>学校教代会发挥重要作用，健全和完善学校信息化管理系统，实现部门联动管理，提升管理成效。</w:t>
      </w:r>
    </w:p>
    <w:p>
      <w:pPr>
        <w:pStyle w:val="11"/>
        <w:spacing w:before="0" w:beforeAutospacing="0" w:after="0" w:afterAutospacing="0" w:line="22" w:lineRule="atLeast"/>
        <w:ind w:left="420" w:leftChars="200" w:right="192"/>
        <w:rPr>
          <w:rFonts w:ascii="仿宋_GB2312" w:hAnsi="仿宋_GB2312" w:cs="仿宋_GB2312"/>
          <w:b/>
          <w:bCs/>
          <w:color w:val="000000"/>
        </w:rPr>
      </w:pPr>
      <w:r>
        <w:rPr>
          <w:rFonts w:hint="eastAsia" w:ascii="仿宋_GB2312" w:hAnsi="仿宋_GB2312" w:cs="仿宋_GB2312"/>
          <w:color w:val="000000"/>
          <w:sz w:val="28"/>
          <w:szCs w:val="28"/>
        </w:rPr>
        <w:t>三是推进体制改革和制度创新。</w:t>
      </w:r>
    </w:p>
    <w:p>
      <w:pPr>
        <w:pStyle w:val="11"/>
        <w:spacing w:before="0" w:beforeAutospacing="0" w:after="0" w:afterAutospacing="0" w:line="22" w:lineRule="atLeast"/>
        <w:ind w:right="192" w:firstLine="560" w:firstLineChars="200"/>
        <w:rPr>
          <w:color w:val="000000"/>
          <w:sz w:val="22"/>
          <w:szCs w:val="22"/>
        </w:rPr>
      </w:pPr>
      <w:r>
        <w:rPr>
          <w:rFonts w:ascii="仿宋_GB2312" w:cs="仿宋_GB2312"/>
          <w:color w:val="000000"/>
          <w:sz w:val="28"/>
          <w:szCs w:val="28"/>
        </w:rPr>
        <w:t>实施校长负责制、学校民主管理制，实行全员聘用制和岗位责任制，坚持按需设岗、公平竞争、择优聘用原则，建立以成果为导向的激励考核机制。</w:t>
      </w:r>
    </w:p>
    <w:p>
      <w:pPr>
        <w:pStyle w:val="11"/>
        <w:spacing w:before="0" w:beforeAutospacing="0" w:after="0" w:afterAutospacing="0" w:line="22" w:lineRule="atLeast"/>
        <w:ind w:left="420" w:leftChars="200" w:right="192"/>
        <w:rPr>
          <w:rFonts w:ascii="仿宋_GB2312" w:cs="仿宋_GB2312"/>
          <w:color w:val="000000"/>
          <w:sz w:val="28"/>
          <w:szCs w:val="28"/>
        </w:rPr>
      </w:pPr>
      <w:r>
        <w:rPr>
          <w:rFonts w:hint="eastAsia" w:ascii="仿宋_GB2312" w:cs="仿宋_GB2312"/>
          <w:color w:val="000000"/>
          <w:sz w:val="28"/>
          <w:szCs w:val="28"/>
        </w:rPr>
        <w:t>四是</w:t>
      </w:r>
      <w:r>
        <w:rPr>
          <w:rFonts w:ascii="仿宋_GB2312" w:cs="仿宋_GB2312"/>
          <w:color w:val="000000"/>
          <w:sz w:val="28"/>
          <w:szCs w:val="28"/>
        </w:rPr>
        <w:t>实施校务公开，提升管理透明度</w:t>
      </w:r>
      <w:r>
        <w:rPr>
          <w:rFonts w:hint="eastAsia" w:ascii="仿宋_GB2312" w:cs="仿宋_GB2312"/>
          <w:color w:val="000000"/>
          <w:sz w:val="28"/>
          <w:szCs w:val="28"/>
        </w:rPr>
        <w:t>。</w:t>
      </w:r>
    </w:p>
    <w:p>
      <w:pPr>
        <w:pStyle w:val="11"/>
        <w:spacing w:before="0" w:beforeAutospacing="0" w:after="0" w:afterAutospacing="0" w:line="22" w:lineRule="atLeast"/>
        <w:ind w:right="192" w:firstLine="560" w:firstLineChars="200"/>
        <w:rPr>
          <w:color w:val="000000"/>
          <w:sz w:val="22"/>
          <w:szCs w:val="22"/>
        </w:rPr>
      </w:pPr>
      <w:r>
        <w:rPr>
          <w:rFonts w:ascii="仿宋_GB2312" w:cs="仿宋_GB2312"/>
          <w:color w:val="000000"/>
          <w:sz w:val="28"/>
          <w:szCs w:val="28"/>
        </w:rPr>
        <w:t>成立校务公开领导小组、监督小组，明确校务公开办事纪律，规定校务公开办事程序，并公布监督、投诉电话。制定了《校务公开工作实施细则》和校务公开方案，明确沟通渠道，明确校务公开工作的目标、原则、内容、形式以及实施步骤。</w:t>
      </w:r>
    </w:p>
    <w:p>
      <w:pPr>
        <w:pStyle w:val="2"/>
        <w:ind w:left="420" w:leftChars="200"/>
        <w:rPr>
          <w:rFonts w:ascii="微软雅黑" w:hAnsi="微软雅黑" w:eastAsia="微软雅黑" w:cs="微软雅黑"/>
          <w:b w:val="0"/>
          <w:bCs/>
          <w:sz w:val="36"/>
          <w:szCs w:val="36"/>
        </w:rPr>
      </w:pPr>
      <w:bookmarkStart w:id="90" w:name="_Toc13857"/>
      <w:bookmarkStart w:id="91" w:name="_Toc27928"/>
      <w:r>
        <w:rPr>
          <w:rFonts w:hint="eastAsia" w:ascii="微软雅黑" w:hAnsi="微软雅黑" w:eastAsia="微软雅黑" w:cs="微软雅黑"/>
          <w:b w:val="0"/>
          <w:bCs/>
          <w:sz w:val="36"/>
          <w:szCs w:val="36"/>
        </w:rPr>
        <w:t>7.特色创新</w:t>
      </w:r>
      <w:bookmarkEnd w:id="90"/>
      <w:bookmarkEnd w:id="91"/>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商丘商贸学校把“做有温度的教育，办有故事的学校”作为学校的作为学校文化建设的核心追求，内化于心，外化于行,营造高品位的学校文化氛围，用特色文化打造学校的核心竞争力。</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我校为学生提供的免费纯净水、免费牙膏使学生雀跃不已。商丘商贸学校这一个个有温度的故事不仅温暖了学生的心灵，也塑造了学生的自信、善良、骨气和坚强。</w:t>
      </w:r>
    </w:p>
    <w:p>
      <w:pPr>
        <w:pStyle w:val="2"/>
        <w:ind w:firstLine="720" w:firstLineChars="200"/>
        <w:rPr>
          <w:rFonts w:ascii="微软雅黑" w:hAnsi="微软雅黑" w:eastAsia="微软雅黑" w:cs="微软雅黑"/>
          <w:b w:val="0"/>
          <w:bCs/>
          <w:sz w:val="36"/>
          <w:szCs w:val="36"/>
        </w:rPr>
      </w:pPr>
      <w:bookmarkStart w:id="92" w:name="_Toc19922"/>
      <w:bookmarkStart w:id="93" w:name="_Toc12773"/>
      <w:r>
        <w:rPr>
          <w:rFonts w:hint="eastAsia" w:ascii="微软雅黑" w:hAnsi="微软雅黑" w:eastAsia="微软雅黑" w:cs="微软雅黑"/>
          <w:b w:val="0"/>
          <w:bCs/>
          <w:sz w:val="36"/>
          <w:szCs w:val="36"/>
        </w:rPr>
        <w:t>8、主要问题和改进措施</w:t>
      </w:r>
      <w:bookmarkEnd w:id="92"/>
      <w:bookmarkEnd w:id="93"/>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（一）主要问题</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1、该校发展迅速，近两年班级数量和学生人数快速增加，学校教室、功能室、实习室和实训室均显得不足，需要增加。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学校师资力量不足。按3656名在校生规模和高中师生比计算，我校教师严重缺编，特别是专业课教师。而从我市目前中等职业教育发展的现状来看，目前很难增加教职工编制，这在一定程度上限制了学校专业的发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3、中职学校招生依然面临很大压力，虽然政府已对职业学校招生政策倾斜，但群众对中职教育认识度还不高，同时中职学校招收的生源质量也不高。</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（二）整改措施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1.加强管理，提高质量，拓宽就业渠道。建设好现代服务实训基地，提升学校的硬件水平。对现有的实训场所进行改造，满足理实一体化需要。</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2.积极开展职业教育各类项目创建工作，努力争取政府支持，加大校企合作、产教融合的力度，从争取专项资金、政府投入、企业支持等多方面开展工作，不断改善学校的办学条件。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3.加强实训基地建设，建立区域内企事业单位技能培训中心，不断拓宽教学资源开发的渠道，强化教学资源开发团队的建设。</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4、恳请区委、区政府参考其他高中、初中教师招聘的做法，增加一部分教师编制。</w:t>
      </w:r>
    </w:p>
    <w:p>
      <w:pPr>
        <w:ind w:firstLine="560" w:firstLineChars="200"/>
        <w:rPr>
          <w:sz w:val="52"/>
          <w:szCs w:val="72"/>
        </w:rPr>
      </w:pPr>
      <w:r>
        <w:rPr>
          <w:rFonts w:hint="eastAsia" w:asciiTheme="minorEastAsia" w:hAnsiTheme="minorEastAsia" w:cstheme="minorEastAsia"/>
          <w:sz w:val="28"/>
          <w:szCs w:val="28"/>
        </w:rPr>
        <w:t>总之在以后的工作中，我校将会区委、区政府安排及上级主管部门要求不断改进工作方法，克难奋进，求实创新，强化凝聚力，全身心投入工作，为职教发展而不懈努力！</w:t>
      </w: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sz w:val="52"/>
        <w:szCs w:val="72"/>
      </w:rPr>
      <w:drawing>
        <wp:inline distT="0" distB="0" distL="114300" distR="114300">
          <wp:extent cx="459740" cy="440055"/>
          <wp:effectExtent l="0" t="0" r="16510" b="17145"/>
          <wp:docPr id="7" name="图片 7" descr="微信图片_2019103011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1030112106"/>
                  <pic:cNvPicPr>
                    <a:picLocks noChangeAspect="1"/>
                  </pic:cNvPicPr>
                </pic:nvPicPr>
                <pic:blipFill>
                  <a:blip r:embed="rId1"/>
                  <a:stretch>
                    <a:fillRect/>
                  </a:stretch>
                </pic:blipFill>
                <pic:spPr>
                  <a:xfrm>
                    <a:off x="0" y="0"/>
                    <a:ext cx="459740" cy="440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YjhiNzNhODNmYzJkNGE2NmVmZmFhYzk2MGZlZGQifQ=="/>
  </w:docVars>
  <w:rsids>
    <w:rsidRoot w:val="0017665F"/>
    <w:rsid w:val="0017665F"/>
    <w:rsid w:val="005923B5"/>
    <w:rsid w:val="008B2842"/>
    <w:rsid w:val="00955757"/>
    <w:rsid w:val="028E14FC"/>
    <w:rsid w:val="02D83A69"/>
    <w:rsid w:val="058035C2"/>
    <w:rsid w:val="05D95119"/>
    <w:rsid w:val="08E4694E"/>
    <w:rsid w:val="0BAB14C4"/>
    <w:rsid w:val="0D1259D5"/>
    <w:rsid w:val="0D5D7CF3"/>
    <w:rsid w:val="0EBB0782"/>
    <w:rsid w:val="0EC85C35"/>
    <w:rsid w:val="192E0BF8"/>
    <w:rsid w:val="1A2A7B3A"/>
    <w:rsid w:val="1B1A01CE"/>
    <w:rsid w:val="1B45434D"/>
    <w:rsid w:val="20370411"/>
    <w:rsid w:val="23363390"/>
    <w:rsid w:val="24F535C1"/>
    <w:rsid w:val="25D875F9"/>
    <w:rsid w:val="278F16D8"/>
    <w:rsid w:val="2B117785"/>
    <w:rsid w:val="2B3B25FD"/>
    <w:rsid w:val="2BB54071"/>
    <w:rsid w:val="2E335D15"/>
    <w:rsid w:val="30FB6F10"/>
    <w:rsid w:val="312D1AA8"/>
    <w:rsid w:val="31FE1DC3"/>
    <w:rsid w:val="33395FFA"/>
    <w:rsid w:val="346F6DAF"/>
    <w:rsid w:val="36377C06"/>
    <w:rsid w:val="36BD6DCC"/>
    <w:rsid w:val="3C2D3CA2"/>
    <w:rsid w:val="3C8747E3"/>
    <w:rsid w:val="3DE01697"/>
    <w:rsid w:val="42865A7F"/>
    <w:rsid w:val="444A3DA6"/>
    <w:rsid w:val="465A68C9"/>
    <w:rsid w:val="46C34368"/>
    <w:rsid w:val="4796334C"/>
    <w:rsid w:val="48793CE7"/>
    <w:rsid w:val="492D0DF4"/>
    <w:rsid w:val="495623AF"/>
    <w:rsid w:val="4CF60202"/>
    <w:rsid w:val="53995B03"/>
    <w:rsid w:val="546976E8"/>
    <w:rsid w:val="56AB6D4B"/>
    <w:rsid w:val="58AB05C9"/>
    <w:rsid w:val="59085365"/>
    <w:rsid w:val="5DB46E30"/>
    <w:rsid w:val="5DBF64B5"/>
    <w:rsid w:val="5E033985"/>
    <w:rsid w:val="5F9A7542"/>
    <w:rsid w:val="602E6EB0"/>
    <w:rsid w:val="6093200E"/>
    <w:rsid w:val="60DD6249"/>
    <w:rsid w:val="621A64AD"/>
    <w:rsid w:val="62AD273D"/>
    <w:rsid w:val="651E56E6"/>
    <w:rsid w:val="667462E1"/>
    <w:rsid w:val="68D47C30"/>
    <w:rsid w:val="68DA6D04"/>
    <w:rsid w:val="690C491D"/>
    <w:rsid w:val="69F84C76"/>
    <w:rsid w:val="6D2231AB"/>
    <w:rsid w:val="6E644FC7"/>
    <w:rsid w:val="6EF220DB"/>
    <w:rsid w:val="705852F5"/>
    <w:rsid w:val="70897CC5"/>
    <w:rsid w:val="717D06E4"/>
    <w:rsid w:val="74BD45A7"/>
    <w:rsid w:val="751B09BD"/>
    <w:rsid w:val="75DC03C9"/>
    <w:rsid w:val="765F4CB6"/>
    <w:rsid w:val="775C4FE6"/>
    <w:rsid w:val="79111BA1"/>
    <w:rsid w:val="79963AF4"/>
    <w:rsid w:val="7D9D1190"/>
    <w:rsid w:val="7E10677F"/>
    <w:rsid w:val="7E79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FollowedHyperlink"/>
    <w:basedOn w:val="14"/>
    <w:qFormat/>
    <w:uiPriority w:val="0"/>
    <w:rPr>
      <w:color w:val="000000"/>
      <w:sz w:val="18"/>
      <w:szCs w:val="18"/>
      <w:u w:val="none"/>
    </w:rPr>
  </w:style>
  <w:style w:type="character" w:styleId="17">
    <w:name w:val="Hyperlink"/>
    <w:basedOn w:val="14"/>
    <w:qFormat/>
    <w:uiPriority w:val="0"/>
    <w:rPr>
      <w:color w:val="000000"/>
      <w:sz w:val="18"/>
      <w:szCs w:val="18"/>
      <w:u w:val="none"/>
    </w:rPr>
  </w:style>
  <w:style w:type="character" w:customStyle="1" w:styleId="18">
    <w:name w:val="标题 2 Char"/>
    <w:link w:val="3"/>
    <w:uiPriority w:val="0"/>
    <w:rPr>
      <w:rFonts w:ascii="Arial" w:hAnsi="Arial" w:eastAsia="黑体"/>
      <w:b/>
      <w:sz w:val="32"/>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 w:type="paragraph" w:styleId="22">
    <w:name w:val="List Paragraph"/>
    <w:basedOn w:val="1"/>
    <w:qFormat/>
    <w:uiPriority w:val="34"/>
    <w:pPr>
      <w:ind w:firstLine="420" w:firstLineChars="200"/>
    </w:pPr>
  </w:style>
  <w:style w:type="character" w:customStyle="1" w:styleId="23">
    <w:name w:val="批注框文本 Char"/>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ustomXml" Target="ink/ink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2.png"/><Relationship Id="rId26" Type="http://schemas.openxmlformats.org/officeDocument/2006/relationships/customXml" Target="ink/ink10.xml"/><Relationship Id="rId25" Type="http://schemas.openxmlformats.org/officeDocument/2006/relationships/image" Target="media/image11.png"/><Relationship Id="rId24" Type="http://schemas.openxmlformats.org/officeDocument/2006/relationships/customXml" Target="ink/ink9.xml"/><Relationship Id="rId23" Type="http://schemas.openxmlformats.org/officeDocument/2006/relationships/image" Target="media/image10.png"/><Relationship Id="rId22" Type="http://schemas.openxmlformats.org/officeDocument/2006/relationships/customXml" Target="ink/ink8.xml"/><Relationship Id="rId21" Type="http://schemas.openxmlformats.org/officeDocument/2006/relationships/image" Target="media/image9.png"/><Relationship Id="rId20" Type="http://schemas.openxmlformats.org/officeDocument/2006/relationships/customXml" Target="ink/ink7.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customXml" Target="ink/ink6.xml"/><Relationship Id="rId17" Type="http://schemas.openxmlformats.org/officeDocument/2006/relationships/image" Target="media/image7.png"/><Relationship Id="rId16" Type="http://schemas.openxmlformats.org/officeDocument/2006/relationships/customXml" Target="ink/ink5.xml"/><Relationship Id="rId15" Type="http://schemas.openxmlformats.org/officeDocument/2006/relationships/image" Target="media/image6.png"/><Relationship Id="rId14" Type="http://schemas.openxmlformats.org/officeDocument/2006/relationships/customXml" Target="ink/ink4.xml"/><Relationship Id="rId13" Type="http://schemas.openxmlformats.org/officeDocument/2006/relationships/image" Target="media/image5.png"/><Relationship Id="rId12" Type="http://schemas.openxmlformats.org/officeDocument/2006/relationships/customXml" Target="ink/ink3.xml"/><Relationship Id="rId11" Type="http://schemas.openxmlformats.org/officeDocument/2006/relationships/image" Target="media/image4.png"/><Relationship Id="rId10" Type="http://schemas.openxmlformats.org/officeDocument/2006/relationships/customXml" Target="ink/ink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ed7d31"/>
      <inkml:brushProperty name="ignorePressure" value="0"/>
    </inkml:brush>
  </inkml:definitions>
  <inkml:trace contextRef="#ctx0" brushRef="#br0">6348 92328,'12'0,"0"0,12 0,0 0,-48 0,12 0,-12 0,-12 0,24 0,-12 0,12 0,24 0,0 0,0 0,12 0,12 0,0 12,0-12,0 0,-12 0,12 0,0 0,-24 0,12 0,-12 0,12 0,-12 0,0 0,-12 12,-12-12,-24 0,12 0,-12 0,12 0,0 0,-12 0,12 0,-12-12,12 12,-12-12,48 12,-12-12,36 12,12 0,24 0,-24 0,12 0,-24 0,0 12,-24-12,-48 0,-24 0,0 0,-24-12,-24 0,36 0,48 12,12-12,12 0,24 12,24 0,-12 0,156 0,-144 0,-24 0,-24 12,-12 0,-12-12,0 0,-36 0,-12 0,-12 0,24 0,24-12,12 0,36 0,0 12,48 0,24 0,0 0,-36 0,-12 12,-12-12,-24 12,-12-12,-12 0,-12 12,-12-12,0 0,12 0,24 0,0 0,0 0,0 0,0 0,0 0,0 0,-12 0,12 0,0 0,0 0,0 0,0 0,0 0,0 0,24 0,24 0,0 0,0 12,0 0,12-12,-12 12,0-12,-24 12,0-12,-24 0,-24 0,12 0,12 0,-24 0,12 0,12 0,0 0,0 0,0 0,0 0,-12 0,12 0,0 0,0 0,0 0,-12 0,0 0,12 0,24 0,0 0,0 0,0 0,0 0,0 0,0 0,0 0,0 0,0 0,0 0,-24 0,0 0,0 0,24 0,12 0,0 0,12 0,0 0,12 0,-12 0,0 0,-24 0,12 0,-12 0,0 0,0 0,0 0,0 0,0 0,0 0,0 0,0 0,0 0,0 0,0 0,0 0,0 0,0 0,0 0,0 0,0 0,0 0,0 0,0 0,0 0,0 0,0 0,-24 0,0 0,0 0,-12-12,0 12,12-12,0 12,12-12,12 12,12 0,0 0,0 0,0 0,-36 0,0 0,-24 0,0 0,12-12,12 12,-12 0,12 0,24 0,0 0,24 0,0 0,0 0,-24 0,-24 0,-24 0,24 0,-24 0,0 0,48 0,108 0,-108 0,0 0,12 0,-12 0,12 0,-12 0,0 0,-12 12,0 0,0 0,0 0,0 0,0 0,-12 0,0 0,0-12,0 0,0 0,0-12,12 0,0 0,0 0,0 0,12 12,0 0,0 0,-12 12,0 0,0 0,0 0,0 0,-12-12,12-12,12 0,-12 0,12 0,0 12,-12-12,12 0,0 0,0 12,-12-12,-12 12,0-12,0 12,0 0,0 0,0 0,0 12,-12-12,12 0,0 0,-36 12,36-12,0 0,0 0,-12 0,12 0,0 0,0 0,0 0,0 0,0 0,-12 0,0 0,12 0,-12 0,12 0,0 0,0 0,0 0,-12 0,12 0,0 0,-12 0,12 0,0 0,0 0,0 0,0 0,0 0,0 0,0 0,0 0,0 0,0 0,0 0,0-12,0 12,0-12,0 12,12-12,-12 12,0 0,0 0,0 0,0 0,0 0,0 0,36 0,0 0,-12 0,12 0,12 0,-24 0,12 0,0 0,-12 0,12 0,-12 0,0 0,0 0,0 0,0 0,0 0,0 0,0 0,0 0,0 0,0 0,0 0,0 0,0 0,0 0,0 0,0 0,0 0,12 0,-12 0,0 0,0 0,0 0,0 0,0 0,0 0,0 0,0 0,0 0,0 0,0 0,0 0,0 0,0 0,0 0,0 0,0 0,0 0,-12 12,-36 0,24 0,-12-12,0 0,12 0,-12 0,12 0,-12 0,12 0,0 0,0 0,0 0,0 0,0 0,0 0,-12 0,0 0,12 0,0 0,0 0,0 0,0 0,12-12,-12 0,24 12,12-12,-12 12,0 0,0 0,0 0,0 0,0 0,0 0,0 0,0 0,0 0,0 0,0 0,0 0,0 0,0 0,0 0,0 0,0 0,0 0,0 0,0 0,0 0,0 0,0 0,0 0,0 0,0 0,0 0,0 0,0 0,0 0,12-12,-12 12,0 0,-12 12,12-12,-12 12,0 0,0 0,0 0,0 0,0 0,0 0,0 0,0 0,0 0,0 0,0 0,0-24,-12 12,12-12,-12 0,12 0,0 0,0 0,12-12,0 12,12 0,-12 0,-24 12,0 0,0 12,-12-12,24 12,0 0,0 0,0 0,0 12,0 0,-12-24,12 0</inkml:trace>
</inkml:ink>
</file>

<file path=word/ink/ink10.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6144 92280,'12'0,"0"0,0 0,0 0,0 0,0 0,0 0,0 0,0 0,-12-12,12 12,0 0,0 0,0 0,0 0,0 0,0 0,0 0,0 0,0 0,0 0,0 0,12 0,-12 0,0 12,0-12,0 0,0 0,0 0,0 0,0 0,0 0,0 0,0 0,0 0,0 0,0 0,0 0,0 0,0 0,0 0,0 0,0 0,0 0,0 0,0 0,0 0,0 0,0 0,0 0,0 0,0 0,0 0,0 0,0 0,0 0,0 0,0 0,0 0,12 0,0-12,-12 12,-12 12,0 0,0 0,0 0,-12 12,0-24,12 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ed7d31"/>
      <inkml:brushProperty name="ignorePressure" value="0"/>
    </inkml:brush>
  </inkml:definitions>
  <inkml:trace contextRef="#ctx0" brushRef="#br0">6216 92328,'-12'0,"-12"12,12-12,0 0,24 0,12-12,-12 12,-12 12,-12-12,0-12,12 0,0-12,-12 36,0-12,12 12,0-12</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6216 92316,'-12'0,"12"12,0 0,12 0,0-12,-12 12,12 0,-12-12</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6972 92316,'0'12,"0"0,-12-12,12 12,0 12,-12-24,0 0,0-12,12 0,0 0,0 0,0 0,0 0,0 0,0 0,0 12</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6936 92304,'0'12,"0"0,0 0,0 0,0 0,0 0,0 0,-12 0,0 0,12-12</inkml:trace>
</inkml:ink>
</file>

<file path=word/ink/ink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6132 92328,'-12'0,"12"12,0 12,12-12,0 0,-12-12</inkml:trace>
</inkml:ink>
</file>

<file path=word/ink/ink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6144 92328,'12'12,"0"0,0 0,0 0,0 0,-24-24,0-12,12 12,0 12</inkml:trace>
</inkml:ink>
</file>

<file path=word/ink/ink8.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6120 92280,'0'12,"12"0,0-12,0 12,0 0,0-12,-12 12,0 0,12 0,-12-12</inkml:trace>
</inkml:ink>
</file>

<file path=word/ink/ink9.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27T19:03:59"/>
    </inkml:context>
    <inkml:brush xml:id="br0">
      <inkml:brushProperty name="width" value="0.05292" units="cm"/>
      <inkml:brushProperty name="height" value="0.05292" units="cm"/>
      <inkml:brushProperty name="color" value="#ffc000"/>
      <inkml:brushProperty name="ignorePressure" value="0"/>
    </inkml:brush>
  </inkml:definitions>
  <inkml:trace contextRef="#ctx0" brushRef="#br0">6216 92304,'12'-12,"-12"12</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31</Pages>
  <Words>2499</Words>
  <Characters>14245</Characters>
  <Lines>118</Lines>
  <Paragraphs>33</Paragraphs>
  <TotalTime>8960</TotalTime>
  <ScaleCrop>false</ScaleCrop>
  <LinksUpToDate>false</LinksUpToDate>
  <CharactersWithSpaces>16711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2019-12-11T06:26:00Z</dcterms:created>
  <dc:creator>Administrator</dc:creator>
  <cp:lastModifiedBy>L S</cp:lastModifiedBy>
  <cp:lastPrinted>2019-12-18T00:51:00Z</cp:lastPrinted>
  <dcterms:modified xsi:type="dcterms:W3CDTF">2023-11-13T08:31:34Z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0C56808E369E4C33A9814CE17D9E8FE8</vt:lpwstr>
  </property>
</Properties>
</file>